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2091578424"/>
        <w:docPartObj>
          <w:docPartGallery w:val="Cover Pages"/>
          <w:docPartUnique/>
        </w:docPartObj>
      </w:sdtPr>
      <w:sdtEndPr>
        <w:rPr>
          <w:noProof/>
        </w:rPr>
      </w:sdtEndPr>
      <w:sdtContent>
        <w:p w14:paraId="553A887C" w14:textId="418937AF" w:rsidR="00AA06B1" w:rsidRPr="0022646E" w:rsidRDefault="005328AE" w:rsidP="0022646E">
          <w:pPr>
            <w:spacing w:line="276" w:lineRule="auto"/>
            <w:ind w:right="-619"/>
            <w:rPr>
              <w:rFonts w:ascii="Arial" w:hAnsi="Arial" w:cs="Arial"/>
            </w:rPr>
          </w:pPr>
          <w:r w:rsidRPr="0022646E">
            <w:rPr>
              <w:rFonts w:ascii="Arial" w:hAnsi="Arial" w:cs="Arial"/>
              <w:noProof/>
              <w:color w:val="99FF99"/>
            </w:rPr>
            <mc:AlternateContent>
              <mc:Choice Requires="wps">
                <w:drawing>
                  <wp:anchor distT="0" distB="0" distL="114300" distR="114300" simplePos="0" relativeHeight="251667456" behindDoc="0" locked="0" layoutInCell="1" allowOverlap="1" wp14:anchorId="4B42C4C4" wp14:editId="153C77FF">
                    <wp:simplePos x="0" y="0"/>
                    <wp:positionH relativeFrom="margin">
                      <wp:posOffset>-2283504</wp:posOffset>
                    </wp:positionH>
                    <wp:positionV relativeFrom="paragraph">
                      <wp:posOffset>-89452</wp:posOffset>
                    </wp:positionV>
                    <wp:extent cx="10300970" cy="7179611"/>
                    <wp:effectExtent l="0" t="1270" r="3810" b="381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0300970" cy="7179611"/>
                            </a:xfrm>
                            <a:prstGeom prst="roundRect">
                              <a:avLst>
                                <a:gd name="adj" fmla="val 2893"/>
                              </a:avLst>
                            </a:prstGeom>
                            <a:solidFill>
                              <a:srgbClr val="3E5F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26791B" w14:textId="25F6C8FF" w:rsidR="00FE2ED8" w:rsidRDefault="00FE2ED8" w:rsidP="00FE2E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2C4C4" id="Rectangle: Rounded Corners 5" o:spid="_x0000_s1026" alt="&quot;&quot;" style="position:absolute;margin-left:-179.8pt;margin-top:-7.05pt;width:811.1pt;height:565.3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" fillcolor="#3e5f73" stroked="f" strokeweight="1pt">
                    <v:stroke joinstyle="miter"/>
                    <v:textbox>
                      <w:txbxContent>
                        <w:p w14:paraId="5E26791B" w14:textId="25F6C8FF" w:rsidR="00FE2ED8" w:rsidRDefault="00FE2ED8" w:rsidP="00FE2ED8">
                          <w:pPr>
                            <w:jc w:val="center"/>
                          </w:pPr>
                          <w:r>
                            <w:t xml:space="preserve">                  </w:t>
                          </w:r>
                        </w:p>
                      </w:txbxContent>
                    </v:textbox>
                    <w10:wrap anchorx="margin"/>
                  </v:roundrect>
                </w:pict>
              </mc:Fallback>
            </mc:AlternateContent>
          </w:r>
          <w:r w:rsidR="00FE2ED8" w:rsidRPr="0022646E">
            <w:rPr>
              <w:rFonts w:ascii="Arial" w:hAnsi="Arial" w:cs="Arial"/>
              <w:noProof/>
            </w:rPr>
            <w:drawing>
              <wp:anchor distT="0" distB="0" distL="114300" distR="114300" simplePos="0" relativeHeight="251670528" behindDoc="0" locked="0" layoutInCell="1" allowOverlap="1" wp14:anchorId="6A8B1CAD" wp14:editId="76EC147D">
                <wp:simplePos x="0" y="0"/>
                <wp:positionH relativeFrom="margin">
                  <wp:posOffset>4584700</wp:posOffset>
                </wp:positionH>
                <wp:positionV relativeFrom="margin">
                  <wp:posOffset>-1517650</wp:posOffset>
                </wp:positionV>
                <wp:extent cx="1557020" cy="143256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p>
        <w:p w14:paraId="4192E8F2" w14:textId="5F5875BD" w:rsidR="00AA06B1" w:rsidRPr="0022646E" w:rsidRDefault="0022646E" w:rsidP="0022646E">
          <w:pPr>
            <w:spacing w:line="276" w:lineRule="auto"/>
            <w:ind w:right="-619"/>
            <w:rPr>
              <w:rFonts w:ascii="Arial" w:hAnsi="Arial" w:cs="Arial"/>
              <w:noProof/>
            </w:rPr>
          </w:pPr>
          <w:r w:rsidRPr="0022646E">
            <w:rPr>
              <w:rFonts w:ascii="Arial" w:hAnsi="Arial" w:cs="Arial"/>
              <w:noProof/>
            </w:rPr>
            <mc:AlternateContent>
              <mc:Choice Requires="wps">
                <w:drawing>
                  <wp:anchor distT="0" distB="0" distL="114300" distR="114300" simplePos="0" relativeHeight="251668480" behindDoc="0" locked="0" layoutInCell="1" allowOverlap="1" wp14:anchorId="018DA580" wp14:editId="1B19A96E">
                    <wp:simplePos x="0" y="0"/>
                    <wp:positionH relativeFrom="margin">
                      <wp:posOffset>-266700</wp:posOffset>
                    </wp:positionH>
                    <wp:positionV relativeFrom="paragraph">
                      <wp:posOffset>1775460</wp:posOffset>
                    </wp:positionV>
                    <wp:extent cx="6330950" cy="5003800"/>
                    <wp:effectExtent l="0" t="0" r="0" b="63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0950" cy="5003800"/>
                            </a:xfrm>
                            <a:prstGeom prst="rect">
                              <a:avLst/>
                            </a:prstGeom>
                            <a:noFill/>
                            <a:ln w="6350">
                              <a:noFill/>
                            </a:ln>
                          </wps:spPr>
                          <wps:txbx>
                            <w:txbxContent>
                              <w:p w14:paraId="2D195234" w14:textId="7730D19D" w:rsidR="0022646E" w:rsidRPr="004526C4" w:rsidRDefault="0022646E" w:rsidP="0022646E">
                                <w:pPr>
                                  <w:jc w:val="center"/>
                                  <w:rPr>
                                    <w:rFonts w:ascii="Arial" w:eastAsiaTheme="majorEastAsia" w:hAnsi="Arial" w:cs="Arial"/>
                                    <w:b/>
                                    <w:bCs/>
                                    <w:color w:val="FFFFFF" w:themeColor="background1"/>
                                    <w:spacing w:val="-10"/>
                                    <w:kern w:val="28"/>
                                    <w:sz w:val="44"/>
                                    <w:szCs w:val="44"/>
                                  </w:rPr>
                                </w:pPr>
                                <w:r w:rsidRPr="004526C4">
                                  <w:rPr>
                                    <w:rFonts w:ascii="Arial" w:eastAsiaTheme="majorEastAsia" w:hAnsi="Arial" w:cs="Arial"/>
                                    <w:b/>
                                    <w:bCs/>
                                    <w:color w:val="FFFFFF" w:themeColor="background1"/>
                                    <w:spacing w:val="-10"/>
                                    <w:kern w:val="28"/>
                                    <w:sz w:val="44"/>
                                    <w:szCs w:val="44"/>
                                  </w:rPr>
                                  <w:t>Greater Manchester hospital delirium management and engagement guidance for medical teams</w:t>
                                </w:r>
                              </w:p>
                              <w:p w14:paraId="4ADEC86F" w14:textId="77777777" w:rsidR="0022646E" w:rsidRPr="004526C4" w:rsidRDefault="0022646E" w:rsidP="0022646E">
                                <w:pPr>
                                  <w:jc w:val="center"/>
                                  <w:rPr>
                                    <w:rFonts w:ascii="Arial" w:eastAsiaTheme="majorEastAsia" w:hAnsi="Arial" w:cs="Arial"/>
                                    <w:color w:val="FFFFFF" w:themeColor="background1"/>
                                    <w:spacing w:val="-10"/>
                                    <w:kern w:val="28"/>
                                    <w:sz w:val="44"/>
                                    <w:szCs w:val="44"/>
                                  </w:rPr>
                                </w:pPr>
                              </w:p>
                              <w:p w14:paraId="2246C565" w14:textId="3F7371BA" w:rsidR="00AA06B1" w:rsidRPr="004526C4" w:rsidRDefault="0022646E" w:rsidP="0022646E">
                                <w:pPr>
                                  <w:jc w:val="center"/>
                                  <w:rPr>
                                    <w:rFonts w:ascii="Arial" w:eastAsiaTheme="majorEastAsia" w:hAnsi="Arial" w:cs="Arial"/>
                                    <w:color w:val="FFFFFF" w:themeColor="background1"/>
                                    <w:spacing w:val="-10"/>
                                    <w:kern w:val="28"/>
                                    <w:sz w:val="44"/>
                                    <w:szCs w:val="44"/>
                                  </w:rPr>
                                </w:pPr>
                                <w:r w:rsidRPr="004526C4">
                                  <w:rPr>
                                    <w:rFonts w:ascii="Arial" w:eastAsiaTheme="majorEastAsia" w:hAnsi="Arial" w:cs="Arial"/>
                                    <w:color w:val="FFFFFF" w:themeColor="background1"/>
                                    <w:spacing w:val="-10"/>
                                    <w:kern w:val="28"/>
                                    <w:sz w:val="44"/>
                                    <w:szCs w:val="44"/>
                                  </w:rPr>
                                  <w:t xml:space="preserve">Key document </w:t>
                                </w:r>
                                <w:proofErr w:type="spellStart"/>
                                <w:r w:rsidRPr="004526C4">
                                  <w:rPr>
                                    <w:rFonts w:ascii="Arial" w:eastAsiaTheme="majorEastAsia" w:hAnsi="Arial" w:cs="Arial"/>
                                    <w:color w:val="FFFFFF" w:themeColor="background1"/>
                                    <w:spacing w:val="-10"/>
                                    <w:kern w:val="28"/>
                                    <w:sz w:val="44"/>
                                    <w:szCs w:val="44"/>
                                  </w:rPr>
                                  <w:t>4a</w:t>
                                </w:r>
                                <w:proofErr w:type="spellEnd"/>
                              </w:p>
                              <w:p w14:paraId="629FD0D4" w14:textId="77777777" w:rsidR="0022646E" w:rsidRPr="004526C4" w:rsidRDefault="0022646E" w:rsidP="0022646E">
                                <w:pPr>
                                  <w:jc w:val="center"/>
                                  <w:rPr>
                                    <w:rFonts w:ascii="Arial" w:eastAsiaTheme="majorEastAsia" w:hAnsi="Arial" w:cs="Arial"/>
                                    <w:color w:val="FFFFFF" w:themeColor="background1"/>
                                    <w:spacing w:val="-10"/>
                                    <w:kern w:val="28"/>
                                    <w:sz w:val="44"/>
                                    <w:szCs w:val="44"/>
                                  </w:rPr>
                                </w:pPr>
                              </w:p>
                              <w:p w14:paraId="24B491B8"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 xml:space="preserve">Note: this is a working document and will be updated on the </w:t>
                                </w:r>
                              </w:p>
                              <w:p w14:paraId="3E46FCC3"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 xml:space="preserve">dementia united website: </w:t>
                                </w:r>
                                <w:hyperlink r:id="rId9" w:history="1">
                                  <w:r w:rsidRPr="004526C4">
                                    <w:rPr>
                                      <w:rFonts w:ascii="Arial" w:hAnsi="Arial" w:cs="Arial"/>
                                      <w:color w:val="FFFFFF" w:themeColor="background1"/>
                                      <w:sz w:val="36"/>
                                      <w:szCs w:val="36"/>
                                      <w:u w:val="single"/>
                                    </w:rPr>
                                    <w:t>www.dementia-united.org.uk</w:t>
                                  </w:r>
                                </w:hyperlink>
                              </w:p>
                              <w:p w14:paraId="445B922A" w14:textId="77777777" w:rsidR="0022646E" w:rsidRPr="004526C4" w:rsidRDefault="0022646E" w:rsidP="0022646E">
                                <w:pPr>
                                  <w:spacing w:line="276" w:lineRule="auto"/>
                                  <w:jc w:val="center"/>
                                  <w:rPr>
                                    <w:rFonts w:ascii="Arial" w:hAnsi="Arial" w:cs="Arial"/>
                                    <w:color w:val="FFFFFF" w:themeColor="background1"/>
                                    <w:sz w:val="36"/>
                                    <w:szCs w:val="36"/>
                                  </w:rPr>
                                </w:pPr>
                              </w:p>
                              <w:p w14:paraId="0803407C" w14:textId="77777777" w:rsidR="0022646E" w:rsidRPr="004526C4" w:rsidRDefault="0022646E" w:rsidP="0022646E">
                                <w:pPr>
                                  <w:spacing w:line="276" w:lineRule="auto"/>
                                  <w:jc w:val="center"/>
                                  <w:rPr>
                                    <w:rFonts w:ascii="Arial" w:hAnsi="Arial" w:cs="Arial"/>
                                    <w:color w:val="FFFFFF" w:themeColor="background1"/>
                                    <w:sz w:val="36"/>
                                    <w:szCs w:val="36"/>
                                  </w:rPr>
                                </w:pPr>
                              </w:p>
                              <w:p w14:paraId="7FCD85BF"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 xml:space="preserve">For those over the age of 18 and not under the </w:t>
                                </w:r>
                              </w:p>
                              <w:p w14:paraId="0A90F324"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influence of drugs and/or alcohol</w:t>
                                </w:r>
                              </w:p>
                              <w:p w14:paraId="75CC5E34" w14:textId="77777777" w:rsidR="0022646E" w:rsidRPr="004526C4" w:rsidRDefault="0022646E" w:rsidP="0022646E">
                                <w:pPr>
                                  <w:spacing w:line="276" w:lineRule="auto"/>
                                  <w:jc w:val="center"/>
                                  <w:rPr>
                                    <w:rFonts w:ascii="Arial" w:hAnsi="Arial" w:cs="Arial"/>
                                    <w:color w:val="FFFFFF" w:themeColor="background1"/>
                                    <w:sz w:val="36"/>
                                    <w:szCs w:val="36"/>
                                  </w:rPr>
                                </w:pPr>
                              </w:p>
                              <w:p w14:paraId="3C46DE96"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Version 2.0 January 2024</w:t>
                                </w:r>
                              </w:p>
                              <w:p w14:paraId="05D5F757" w14:textId="77777777" w:rsidR="0022646E" w:rsidRPr="000E6C66" w:rsidRDefault="0022646E" w:rsidP="0022646E">
                                <w:pPr>
                                  <w:spacing w:line="276" w:lineRule="auto"/>
                                  <w:ind w:left="-142" w:right="-606"/>
                                  <w:jc w:val="center"/>
                                  <w:rPr>
                                    <w:iCs/>
                                    <w:color w:val="FFFFFF" w:themeColor="background1"/>
                                    <w:sz w:val="36"/>
                                    <w:szCs w:val="36"/>
                                  </w:rPr>
                                </w:pPr>
                                <w:r w:rsidRPr="000E6C66">
                                  <w:rPr>
                                    <w:iCs/>
                                    <w:color w:val="FFFFFF" w:themeColor="background1"/>
                                    <w:sz w:val="36"/>
                                    <w:szCs w:val="36"/>
                                  </w:rPr>
                                  <w:t xml:space="preserve">            </w:t>
                                </w:r>
                              </w:p>
                              <w:p w14:paraId="0A9F84C1" w14:textId="77777777" w:rsidR="0022646E" w:rsidRPr="00AA06B1" w:rsidRDefault="0022646E" w:rsidP="0022646E">
                                <w:pPr>
                                  <w:jc w:val="center"/>
                                  <w:rPr>
                                    <w:rFonts w:ascii="Colfax" w:hAnsi="Colfax"/>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A580" id="_x0000_t202" coordsize="21600,21600" o:spt="202" path="m,l,21600r21600,l21600,xe">
                    <v:stroke joinstyle="miter"/>
                    <v:path gradientshapeok="t" o:connecttype="rect"/>
                  </v:shapetype>
                  <v:shape id="Text Box 4" o:spid="_x0000_s1027" type="#_x0000_t202" alt="&quot;&quot;" style="position:absolute;margin-left:-21pt;margin-top:139.8pt;width:498.5pt;height:3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g5FwIAADQ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" filled="f" stroked="f" strokeweight=".5pt">
                    <v:textbox>
                      <w:txbxContent>
                        <w:p w14:paraId="2D195234" w14:textId="7730D19D" w:rsidR="0022646E" w:rsidRPr="004526C4" w:rsidRDefault="0022646E" w:rsidP="0022646E">
                          <w:pPr>
                            <w:jc w:val="center"/>
                            <w:rPr>
                              <w:rFonts w:ascii="Arial" w:eastAsiaTheme="majorEastAsia" w:hAnsi="Arial" w:cs="Arial"/>
                              <w:b/>
                              <w:bCs/>
                              <w:color w:val="FFFFFF" w:themeColor="background1"/>
                              <w:spacing w:val="-10"/>
                              <w:kern w:val="28"/>
                              <w:sz w:val="44"/>
                              <w:szCs w:val="44"/>
                            </w:rPr>
                          </w:pPr>
                          <w:r w:rsidRPr="004526C4">
                            <w:rPr>
                              <w:rFonts w:ascii="Arial" w:eastAsiaTheme="majorEastAsia" w:hAnsi="Arial" w:cs="Arial"/>
                              <w:b/>
                              <w:bCs/>
                              <w:color w:val="FFFFFF" w:themeColor="background1"/>
                              <w:spacing w:val="-10"/>
                              <w:kern w:val="28"/>
                              <w:sz w:val="44"/>
                              <w:szCs w:val="44"/>
                            </w:rPr>
                            <w:t>Greater Manchester hospital delirium management and engagement guidance for medical teams</w:t>
                          </w:r>
                        </w:p>
                        <w:p w14:paraId="4ADEC86F" w14:textId="77777777" w:rsidR="0022646E" w:rsidRPr="004526C4" w:rsidRDefault="0022646E" w:rsidP="0022646E">
                          <w:pPr>
                            <w:jc w:val="center"/>
                            <w:rPr>
                              <w:rFonts w:ascii="Arial" w:eastAsiaTheme="majorEastAsia" w:hAnsi="Arial" w:cs="Arial"/>
                              <w:color w:val="FFFFFF" w:themeColor="background1"/>
                              <w:spacing w:val="-10"/>
                              <w:kern w:val="28"/>
                              <w:sz w:val="44"/>
                              <w:szCs w:val="44"/>
                            </w:rPr>
                          </w:pPr>
                        </w:p>
                        <w:p w14:paraId="2246C565" w14:textId="3F7371BA" w:rsidR="00AA06B1" w:rsidRPr="004526C4" w:rsidRDefault="0022646E" w:rsidP="0022646E">
                          <w:pPr>
                            <w:jc w:val="center"/>
                            <w:rPr>
                              <w:rFonts w:ascii="Arial" w:eastAsiaTheme="majorEastAsia" w:hAnsi="Arial" w:cs="Arial"/>
                              <w:color w:val="FFFFFF" w:themeColor="background1"/>
                              <w:spacing w:val="-10"/>
                              <w:kern w:val="28"/>
                              <w:sz w:val="44"/>
                              <w:szCs w:val="44"/>
                            </w:rPr>
                          </w:pPr>
                          <w:r w:rsidRPr="004526C4">
                            <w:rPr>
                              <w:rFonts w:ascii="Arial" w:eastAsiaTheme="majorEastAsia" w:hAnsi="Arial" w:cs="Arial"/>
                              <w:color w:val="FFFFFF" w:themeColor="background1"/>
                              <w:spacing w:val="-10"/>
                              <w:kern w:val="28"/>
                              <w:sz w:val="44"/>
                              <w:szCs w:val="44"/>
                            </w:rPr>
                            <w:t xml:space="preserve">Key document </w:t>
                          </w:r>
                          <w:proofErr w:type="spellStart"/>
                          <w:r w:rsidRPr="004526C4">
                            <w:rPr>
                              <w:rFonts w:ascii="Arial" w:eastAsiaTheme="majorEastAsia" w:hAnsi="Arial" w:cs="Arial"/>
                              <w:color w:val="FFFFFF" w:themeColor="background1"/>
                              <w:spacing w:val="-10"/>
                              <w:kern w:val="28"/>
                              <w:sz w:val="44"/>
                              <w:szCs w:val="44"/>
                            </w:rPr>
                            <w:t>4a</w:t>
                          </w:r>
                          <w:proofErr w:type="spellEnd"/>
                        </w:p>
                        <w:p w14:paraId="629FD0D4" w14:textId="77777777" w:rsidR="0022646E" w:rsidRPr="004526C4" w:rsidRDefault="0022646E" w:rsidP="0022646E">
                          <w:pPr>
                            <w:jc w:val="center"/>
                            <w:rPr>
                              <w:rFonts w:ascii="Arial" w:eastAsiaTheme="majorEastAsia" w:hAnsi="Arial" w:cs="Arial"/>
                              <w:color w:val="FFFFFF" w:themeColor="background1"/>
                              <w:spacing w:val="-10"/>
                              <w:kern w:val="28"/>
                              <w:sz w:val="44"/>
                              <w:szCs w:val="44"/>
                            </w:rPr>
                          </w:pPr>
                        </w:p>
                        <w:p w14:paraId="24B491B8"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 xml:space="preserve">Note: this is a working document and will be updated on the </w:t>
                          </w:r>
                        </w:p>
                        <w:p w14:paraId="3E46FCC3"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 xml:space="preserve">dementia united website: </w:t>
                          </w:r>
                          <w:hyperlink r:id="rId10" w:history="1">
                            <w:r w:rsidRPr="004526C4">
                              <w:rPr>
                                <w:rFonts w:ascii="Arial" w:hAnsi="Arial" w:cs="Arial"/>
                                <w:color w:val="FFFFFF" w:themeColor="background1"/>
                                <w:sz w:val="36"/>
                                <w:szCs w:val="36"/>
                                <w:u w:val="single"/>
                              </w:rPr>
                              <w:t>www.dementia-united.org.uk</w:t>
                            </w:r>
                          </w:hyperlink>
                        </w:p>
                        <w:p w14:paraId="445B922A" w14:textId="77777777" w:rsidR="0022646E" w:rsidRPr="004526C4" w:rsidRDefault="0022646E" w:rsidP="0022646E">
                          <w:pPr>
                            <w:spacing w:line="276" w:lineRule="auto"/>
                            <w:jc w:val="center"/>
                            <w:rPr>
                              <w:rFonts w:ascii="Arial" w:hAnsi="Arial" w:cs="Arial"/>
                              <w:color w:val="FFFFFF" w:themeColor="background1"/>
                              <w:sz w:val="36"/>
                              <w:szCs w:val="36"/>
                            </w:rPr>
                          </w:pPr>
                        </w:p>
                        <w:p w14:paraId="0803407C" w14:textId="77777777" w:rsidR="0022646E" w:rsidRPr="004526C4" w:rsidRDefault="0022646E" w:rsidP="0022646E">
                          <w:pPr>
                            <w:spacing w:line="276" w:lineRule="auto"/>
                            <w:jc w:val="center"/>
                            <w:rPr>
                              <w:rFonts w:ascii="Arial" w:hAnsi="Arial" w:cs="Arial"/>
                              <w:color w:val="FFFFFF" w:themeColor="background1"/>
                              <w:sz w:val="36"/>
                              <w:szCs w:val="36"/>
                            </w:rPr>
                          </w:pPr>
                        </w:p>
                        <w:p w14:paraId="7FCD85BF"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 xml:space="preserve">For those over the age of 18 and not under the </w:t>
                          </w:r>
                        </w:p>
                        <w:p w14:paraId="0A90F324"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influence of drugs and/or alcohol</w:t>
                          </w:r>
                        </w:p>
                        <w:p w14:paraId="75CC5E34" w14:textId="77777777" w:rsidR="0022646E" w:rsidRPr="004526C4" w:rsidRDefault="0022646E" w:rsidP="0022646E">
                          <w:pPr>
                            <w:spacing w:line="276" w:lineRule="auto"/>
                            <w:jc w:val="center"/>
                            <w:rPr>
                              <w:rFonts w:ascii="Arial" w:hAnsi="Arial" w:cs="Arial"/>
                              <w:color w:val="FFFFFF" w:themeColor="background1"/>
                              <w:sz w:val="36"/>
                              <w:szCs w:val="36"/>
                            </w:rPr>
                          </w:pPr>
                        </w:p>
                        <w:p w14:paraId="3C46DE96" w14:textId="77777777" w:rsidR="0022646E" w:rsidRPr="004526C4" w:rsidRDefault="0022646E" w:rsidP="0022646E">
                          <w:pPr>
                            <w:spacing w:line="276" w:lineRule="auto"/>
                            <w:jc w:val="center"/>
                            <w:rPr>
                              <w:rFonts w:ascii="Arial" w:hAnsi="Arial" w:cs="Arial"/>
                              <w:color w:val="FFFFFF" w:themeColor="background1"/>
                              <w:sz w:val="36"/>
                              <w:szCs w:val="36"/>
                            </w:rPr>
                          </w:pPr>
                          <w:r w:rsidRPr="004526C4">
                            <w:rPr>
                              <w:rFonts w:ascii="Arial" w:hAnsi="Arial" w:cs="Arial"/>
                              <w:color w:val="FFFFFF" w:themeColor="background1"/>
                              <w:sz w:val="36"/>
                              <w:szCs w:val="36"/>
                            </w:rPr>
                            <w:t>Version 2.0 January 2024</w:t>
                          </w:r>
                        </w:p>
                        <w:p w14:paraId="05D5F757" w14:textId="77777777" w:rsidR="0022646E" w:rsidRPr="000E6C66" w:rsidRDefault="0022646E" w:rsidP="0022646E">
                          <w:pPr>
                            <w:spacing w:line="276" w:lineRule="auto"/>
                            <w:ind w:left="-142" w:right="-606"/>
                            <w:jc w:val="center"/>
                            <w:rPr>
                              <w:iCs/>
                              <w:color w:val="FFFFFF" w:themeColor="background1"/>
                              <w:sz w:val="36"/>
                              <w:szCs w:val="36"/>
                            </w:rPr>
                          </w:pPr>
                          <w:r w:rsidRPr="000E6C66">
                            <w:rPr>
                              <w:iCs/>
                              <w:color w:val="FFFFFF" w:themeColor="background1"/>
                              <w:sz w:val="36"/>
                              <w:szCs w:val="36"/>
                            </w:rPr>
                            <w:t xml:space="preserve">            </w:t>
                          </w:r>
                        </w:p>
                        <w:p w14:paraId="0A9F84C1" w14:textId="77777777" w:rsidR="0022646E" w:rsidRPr="00AA06B1" w:rsidRDefault="0022646E" w:rsidP="0022646E">
                          <w:pPr>
                            <w:jc w:val="center"/>
                            <w:rPr>
                              <w:rFonts w:ascii="Colfax" w:hAnsi="Colfax"/>
                              <w:color w:val="FFFFFF" w:themeColor="background1"/>
                              <w:sz w:val="40"/>
                              <w:szCs w:val="40"/>
                            </w:rPr>
                          </w:pPr>
                        </w:p>
                      </w:txbxContent>
                    </v:textbox>
                    <w10:wrap anchorx="margin"/>
                  </v:shape>
                </w:pict>
              </mc:Fallback>
            </mc:AlternateContent>
          </w:r>
          <w:r w:rsidR="00FE2ED8" w:rsidRPr="0022646E">
            <w:rPr>
              <w:rFonts w:ascii="Arial" w:hAnsi="Arial" w:cs="Arial"/>
              <w:noProof/>
            </w:rPr>
            <mc:AlternateContent>
              <mc:Choice Requires="wps">
                <w:drawing>
                  <wp:anchor distT="0" distB="0" distL="114300" distR="114300" simplePos="0" relativeHeight="251663360" behindDoc="0" locked="0" layoutInCell="1" allowOverlap="1" wp14:anchorId="15548818" wp14:editId="5FA9B2AB">
                    <wp:simplePos x="0" y="0"/>
                    <wp:positionH relativeFrom="column">
                      <wp:posOffset>5247005</wp:posOffset>
                    </wp:positionH>
                    <wp:positionV relativeFrom="paragraph">
                      <wp:posOffset>4718685</wp:posOffset>
                    </wp:positionV>
                    <wp:extent cx="4902835" cy="3175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02835" cy="317500"/>
                            </a:xfrm>
                            <a:prstGeom prst="rect">
                              <a:avLst/>
                            </a:prstGeom>
                            <a:noFill/>
                            <a:ln w="6350">
                              <a:noFill/>
                            </a:ln>
                          </wps:spPr>
                          <wps:txbx>
                            <w:txbxContent>
                              <w:p w14:paraId="3BBBD9DC" w14:textId="77777777" w:rsidR="00AA06B1" w:rsidRPr="00E719BB" w:rsidRDefault="00AA06B1">
                                <w:pPr>
                                  <w:rPr>
                                    <w:rFonts w:ascii="Arial" w:hAnsi="Arial" w:cs="Arial"/>
                                    <w:color w:val="FFFFFF" w:themeColor="background1"/>
                                  </w:rPr>
                                </w:pPr>
                                <w:r w:rsidRPr="00E719BB">
                                  <w:rPr>
                                    <w:rFonts w:ascii="Arial" w:hAnsi="Arial" w:cs="Arial"/>
                                    <w:color w:val="FFFFFF" w:themeColor="background1"/>
                                  </w:rPr>
                                  <w:t xml:space="preserve">Small subtitle (delete if not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48818" id="Text Box 3" o:spid="_x0000_s1028" type="#_x0000_t202" alt="&quot;&quot;" style="position:absolute;margin-left:413.15pt;margin-top:371.55pt;width:386.05pt;height: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dPHA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" filled="f" stroked="f" strokeweight=".5pt">
                    <v:textbox>
                      <w:txbxContent>
                        <w:p w14:paraId="3BBBD9DC" w14:textId="77777777" w:rsidR="00AA06B1" w:rsidRPr="00E719BB" w:rsidRDefault="00AA06B1">
                          <w:pPr>
                            <w:rPr>
                              <w:rFonts w:ascii="Arial" w:hAnsi="Arial" w:cs="Arial"/>
                              <w:color w:val="FFFFFF" w:themeColor="background1"/>
                            </w:rPr>
                          </w:pPr>
                          <w:r w:rsidRPr="00E719BB">
                            <w:rPr>
                              <w:rFonts w:ascii="Arial" w:hAnsi="Arial" w:cs="Arial"/>
                              <w:color w:val="FFFFFF" w:themeColor="background1"/>
                            </w:rPr>
                            <w:t xml:space="preserve">Small subtitle (delete if not needed) </w:t>
                          </w:r>
                        </w:p>
                      </w:txbxContent>
                    </v:textbox>
                  </v:shape>
                </w:pict>
              </mc:Fallback>
            </mc:AlternateContent>
          </w:r>
          <w:r w:rsidR="00AA06B1" w:rsidRPr="0022646E">
            <w:rPr>
              <w:rFonts w:ascii="Arial" w:hAnsi="Arial" w:cs="Arial"/>
              <w:noProof/>
            </w:rPr>
            <w:br w:type="page"/>
          </w:r>
        </w:p>
      </w:sdtContent>
    </w:sdt>
    <w:p w14:paraId="3BFF54F8" w14:textId="77777777" w:rsidR="009F2DFC" w:rsidRPr="0022646E" w:rsidRDefault="009F2DFC" w:rsidP="0022646E">
      <w:pPr>
        <w:spacing w:line="276" w:lineRule="auto"/>
        <w:ind w:right="-619"/>
        <w:rPr>
          <w:rFonts w:ascii="Arial" w:hAnsi="Arial" w:cs="Arial"/>
        </w:rPr>
      </w:pPr>
    </w:p>
    <w:p w14:paraId="22D4F351" w14:textId="77777777" w:rsidR="0022646E" w:rsidRPr="0022646E" w:rsidRDefault="0022646E" w:rsidP="0022646E">
      <w:pPr>
        <w:spacing w:line="276" w:lineRule="auto"/>
        <w:ind w:right="-619"/>
        <w:rPr>
          <w:rFonts w:ascii="Arial" w:hAnsi="Arial" w:cs="Arial"/>
          <w:b/>
          <w:color w:val="0067A5"/>
          <w:sz w:val="32"/>
          <w:szCs w:val="32"/>
        </w:rPr>
      </w:pPr>
    </w:p>
    <w:sdt>
      <w:sdtPr>
        <w:rPr>
          <w:rFonts w:ascii="Arial" w:eastAsia="Arial" w:hAnsi="Arial" w:cs="Arial"/>
          <w:color w:val="auto"/>
          <w:sz w:val="22"/>
          <w:szCs w:val="22"/>
          <w:lang w:eastAsia="en-US"/>
        </w:rPr>
        <w:id w:val="-1415087622"/>
        <w:docPartObj>
          <w:docPartGallery w:val="Table of Contents"/>
          <w:docPartUnique/>
        </w:docPartObj>
      </w:sdtPr>
      <w:sdtEndPr>
        <w:rPr>
          <w:rFonts w:eastAsiaTheme="minorHAnsi"/>
          <w:b/>
          <w:bCs/>
          <w:sz w:val="24"/>
          <w:szCs w:val="24"/>
        </w:rPr>
      </w:sdtEndPr>
      <w:sdtContent>
        <w:p w14:paraId="5E8731FB" w14:textId="77777777" w:rsidR="0022646E" w:rsidRPr="00E70B0A" w:rsidRDefault="0022646E" w:rsidP="0022646E">
          <w:pPr>
            <w:pStyle w:val="TOCHeading"/>
            <w:spacing w:before="0" w:line="276" w:lineRule="auto"/>
            <w:ind w:right="-619"/>
            <w:rPr>
              <w:rFonts w:ascii="Arial" w:hAnsi="Arial" w:cs="Arial"/>
              <w:b/>
              <w:bCs/>
              <w:color w:val="B04D98"/>
              <w:sz w:val="28"/>
              <w:szCs w:val="28"/>
            </w:rPr>
          </w:pPr>
          <w:r w:rsidRPr="00E70B0A">
            <w:rPr>
              <w:rFonts w:ascii="Arial" w:hAnsi="Arial" w:cs="Arial"/>
              <w:b/>
              <w:bCs/>
              <w:color w:val="B04D98"/>
              <w:sz w:val="28"/>
              <w:szCs w:val="28"/>
            </w:rPr>
            <w:t>Contents</w:t>
          </w:r>
        </w:p>
        <w:p w14:paraId="2A17AF61" w14:textId="36F8158F" w:rsidR="005A5EE8" w:rsidRDefault="0022646E">
          <w:pPr>
            <w:pStyle w:val="TOC2"/>
            <w:tabs>
              <w:tab w:val="right" w:leader="dot" w:pos="9010"/>
            </w:tabs>
            <w:rPr>
              <w:rFonts w:asciiTheme="minorHAnsi" w:eastAsiaTheme="minorEastAsia" w:hAnsiTheme="minorHAnsi" w:cstheme="minorBidi"/>
              <w:noProof/>
              <w:kern w:val="2"/>
              <w:lang w:eastAsia="en-GB"/>
              <w14:ligatures w14:val="standardContextual"/>
            </w:rPr>
          </w:pPr>
          <w:r w:rsidRPr="0022646E">
            <w:fldChar w:fldCharType="begin"/>
          </w:r>
          <w:r w:rsidRPr="0022646E">
            <w:instrText xml:space="preserve"> TOC \o "1-3" \h \z \u </w:instrText>
          </w:r>
          <w:r w:rsidRPr="0022646E">
            <w:fldChar w:fldCharType="separate"/>
          </w:r>
          <w:hyperlink w:anchor="_Toc166742661" w:history="1">
            <w:r w:rsidR="005A5EE8" w:rsidRPr="005C1B8F">
              <w:rPr>
                <w:rStyle w:val="Hyperlink"/>
                <w:noProof/>
              </w:rPr>
              <w:t>The message behind the behaviour: When people present with behaviours we find challenging.</w:t>
            </w:r>
            <w:r w:rsidR="005A5EE8">
              <w:rPr>
                <w:noProof/>
                <w:webHidden/>
              </w:rPr>
              <w:tab/>
            </w:r>
            <w:r w:rsidR="005A5EE8">
              <w:rPr>
                <w:noProof/>
                <w:webHidden/>
              </w:rPr>
              <w:fldChar w:fldCharType="begin"/>
            </w:r>
            <w:r w:rsidR="005A5EE8">
              <w:rPr>
                <w:noProof/>
                <w:webHidden/>
              </w:rPr>
              <w:instrText xml:space="preserve"> PAGEREF _Toc166742661 \h </w:instrText>
            </w:r>
            <w:r w:rsidR="005A5EE8">
              <w:rPr>
                <w:noProof/>
                <w:webHidden/>
              </w:rPr>
            </w:r>
            <w:r w:rsidR="005A5EE8">
              <w:rPr>
                <w:noProof/>
                <w:webHidden/>
              </w:rPr>
              <w:fldChar w:fldCharType="separate"/>
            </w:r>
            <w:r w:rsidR="005A5EE8">
              <w:rPr>
                <w:noProof/>
                <w:webHidden/>
              </w:rPr>
              <w:t>5</w:t>
            </w:r>
            <w:r w:rsidR="005A5EE8">
              <w:rPr>
                <w:noProof/>
                <w:webHidden/>
              </w:rPr>
              <w:fldChar w:fldCharType="end"/>
            </w:r>
          </w:hyperlink>
        </w:p>
        <w:p w14:paraId="69AFEA9C" w14:textId="3E42D4E2" w:rsidR="005A5EE8" w:rsidRDefault="005A5EE8">
          <w:pPr>
            <w:pStyle w:val="TOC2"/>
            <w:tabs>
              <w:tab w:val="right" w:leader="dot" w:pos="9010"/>
            </w:tabs>
            <w:rPr>
              <w:rFonts w:asciiTheme="minorHAnsi" w:eastAsiaTheme="minorEastAsia" w:hAnsiTheme="minorHAnsi" w:cstheme="minorBidi"/>
              <w:noProof/>
              <w:kern w:val="2"/>
              <w:lang w:eastAsia="en-GB"/>
              <w14:ligatures w14:val="standardContextual"/>
            </w:rPr>
          </w:pPr>
          <w:hyperlink w:anchor="_Toc166742662" w:history="1">
            <w:r w:rsidRPr="005C1B8F">
              <w:rPr>
                <w:rStyle w:val="Hyperlink"/>
                <w:noProof/>
              </w:rPr>
              <w:t>Meeting the needs at the end of life</w:t>
            </w:r>
            <w:r>
              <w:rPr>
                <w:noProof/>
                <w:webHidden/>
              </w:rPr>
              <w:tab/>
            </w:r>
            <w:r>
              <w:rPr>
                <w:noProof/>
                <w:webHidden/>
              </w:rPr>
              <w:fldChar w:fldCharType="begin"/>
            </w:r>
            <w:r>
              <w:rPr>
                <w:noProof/>
                <w:webHidden/>
              </w:rPr>
              <w:instrText xml:space="preserve"> PAGEREF _Toc166742662 \h </w:instrText>
            </w:r>
            <w:r>
              <w:rPr>
                <w:noProof/>
                <w:webHidden/>
              </w:rPr>
            </w:r>
            <w:r>
              <w:rPr>
                <w:noProof/>
                <w:webHidden/>
              </w:rPr>
              <w:fldChar w:fldCharType="separate"/>
            </w:r>
            <w:r>
              <w:rPr>
                <w:noProof/>
                <w:webHidden/>
              </w:rPr>
              <w:t>7</w:t>
            </w:r>
            <w:r>
              <w:rPr>
                <w:noProof/>
                <w:webHidden/>
              </w:rPr>
              <w:fldChar w:fldCharType="end"/>
            </w:r>
          </w:hyperlink>
        </w:p>
        <w:p w14:paraId="1CC862BA" w14:textId="772DCA14" w:rsidR="005A5EE8" w:rsidRDefault="005A5EE8">
          <w:pPr>
            <w:pStyle w:val="TOC2"/>
            <w:tabs>
              <w:tab w:val="right" w:leader="dot" w:pos="9010"/>
            </w:tabs>
            <w:rPr>
              <w:rFonts w:asciiTheme="minorHAnsi" w:eastAsiaTheme="minorEastAsia" w:hAnsiTheme="minorHAnsi" w:cstheme="minorBidi"/>
              <w:noProof/>
              <w:kern w:val="2"/>
              <w:lang w:eastAsia="en-GB"/>
              <w14:ligatures w14:val="standardContextual"/>
            </w:rPr>
          </w:pPr>
          <w:hyperlink w:anchor="_Toc166742663" w:history="1">
            <w:r w:rsidRPr="005C1B8F">
              <w:rPr>
                <w:rStyle w:val="Hyperlink"/>
                <w:noProof/>
              </w:rPr>
              <w:t>Recovery from delirium</w:t>
            </w:r>
            <w:r>
              <w:rPr>
                <w:noProof/>
                <w:webHidden/>
              </w:rPr>
              <w:tab/>
            </w:r>
            <w:r>
              <w:rPr>
                <w:noProof/>
                <w:webHidden/>
              </w:rPr>
              <w:fldChar w:fldCharType="begin"/>
            </w:r>
            <w:r>
              <w:rPr>
                <w:noProof/>
                <w:webHidden/>
              </w:rPr>
              <w:instrText xml:space="preserve"> PAGEREF _Toc166742663 \h </w:instrText>
            </w:r>
            <w:r>
              <w:rPr>
                <w:noProof/>
                <w:webHidden/>
              </w:rPr>
            </w:r>
            <w:r>
              <w:rPr>
                <w:noProof/>
                <w:webHidden/>
              </w:rPr>
              <w:fldChar w:fldCharType="separate"/>
            </w:r>
            <w:r>
              <w:rPr>
                <w:noProof/>
                <w:webHidden/>
              </w:rPr>
              <w:t>8</w:t>
            </w:r>
            <w:r>
              <w:rPr>
                <w:noProof/>
                <w:webHidden/>
              </w:rPr>
              <w:fldChar w:fldCharType="end"/>
            </w:r>
          </w:hyperlink>
        </w:p>
        <w:p w14:paraId="4E803D4E" w14:textId="20412ED8" w:rsidR="005A5EE8" w:rsidRDefault="005A5EE8">
          <w:pPr>
            <w:pStyle w:val="TOC2"/>
            <w:tabs>
              <w:tab w:val="right" w:leader="dot" w:pos="9010"/>
            </w:tabs>
            <w:rPr>
              <w:rFonts w:asciiTheme="minorHAnsi" w:eastAsiaTheme="minorEastAsia" w:hAnsiTheme="minorHAnsi" w:cstheme="minorBidi"/>
              <w:noProof/>
              <w:kern w:val="2"/>
              <w:lang w:eastAsia="en-GB"/>
              <w14:ligatures w14:val="standardContextual"/>
            </w:rPr>
          </w:pPr>
          <w:hyperlink w:anchor="_Toc166742664" w:history="1">
            <w:r w:rsidRPr="005C1B8F">
              <w:rPr>
                <w:rStyle w:val="Hyperlink"/>
                <w:noProof/>
              </w:rPr>
              <w:t>Delirium prevention</w:t>
            </w:r>
            <w:r>
              <w:rPr>
                <w:noProof/>
                <w:webHidden/>
              </w:rPr>
              <w:tab/>
            </w:r>
            <w:r>
              <w:rPr>
                <w:noProof/>
                <w:webHidden/>
              </w:rPr>
              <w:fldChar w:fldCharType="begin"/>
            </w:r>
            <w:r>
              <w:rPr>
                <w:noProof/>
                <w:webHidden/>
              </w:rPr>
              <w:instrText xml:space="preserve"> PAGEREF _Toc166742664 \h </w:instrText>
            </w:r>
            <w:r>
              <w:rPr>
                <w:noProof/>
                <w:webHidden/>
              </w:rPr>
            </w:r>
            <w:r>
              <w:rPr>
                <w:noProof/>
                <w:webHidden/>
              </w:rPr>
              <w:fldChar w:fldCharType="separate"/>
            </w:r>
            <w:r>
              <w:rPr>
                <w:noProof/>
                <w:webHidden/>
              </w:rPr>
              <w:t>9</w:t>
            </w:r>
            <w:r>
              <w:rPr>
                <w:noProof/>
                <w:webHidden/>
              </w:rPr>
              <w:fldChar w:fldCharType="end"/>
            </w:r>
          </w:hyperlink>
        </w:p>
        <w:p w14:paraId="260CCD5A" w14:textId="28BCBAF8" w:rsidR="0022646E" w:rsidRPr="0022646E" w:rsidRDefault="0022646E" w:rsidP="0022646E">
          <w:pPr>
            <w:spacing w:line="276" w:lineRule="auto"/>
            <w:ind w:right="-619"/>
            <w:rPr>
              <w:rFonts w:ascii="Arial" w:hAnsi="Arial" w:cs="Arial"/>
            </w:rPr>
          </w:pPr>
          <w:r w:rsidRPr="0022646E">
            <w:rPr>
              <w:rFonts w:ascii="Arial" w:hAnsi="Arial" w:cs="Arial"/>
              <w:b/>
              <w:bCs/>
            </w:rPr>
            <w:fldChar w:fldCharType="end"/>
          </w:r>
        </w:p>
      </w:sdtContent>
    </w:sdt>
    <w:p w14:paraId="542EB17D" w14:textId="77777777" w:rsidR="0022646E" w:rsidRPr="0022646E" w:rsidRDefault="0022646E" w:rsidP="0022646E">
      <w:pPr>
        <w:spacing w:line="276" w:lineRule="auto"/>
        <w:ind w:right="-619"/>
        <w:rPr>
          <w:rFonts w:ascii="Arial" w:hAnsi="Arial" w:cs="Arial"/>
          <w:b/>
          <w:color w:val="0067A5"/>
          <w:sz w:val="32"/>
          <w:szCs w:val="32"/>
        </w:rPr>
      </w:pPr>
    </w:p>
    <w:p w14:paraId="1E5BE04E" w14:textId="77777777" w:rsidR="0022646E" w:rsidRPr="0022646E" w:rsidRDefault="0022646E" w:rsidP="0022646E">
      <w:pPr>
        <w:spacing w:line="276" w:lineRule="auto"/>
        <w:ind w:right="-619"/>
        <w:rPr>
          <w:rFonts w:ascii="Arial" w:hAnsi="Arial" w:cs="Arial"/>
          <w:color w:val="425563"/>
        </w:rPr>
      </w:pPr>
      <w:r w:rsidRPr="0022646E">
        <w:rPr>
          <w:rFonts w:ascii="Arial" w:hAnsi="Arial" w:cs="Arial"/>
          <w:color w:val="425563"/>
        </w:rPr>
        <w:t>This document and the other key documents and optional resources listed below can be accessed via the Dementia United website</w:t>
      </w:r>
      <w:r w:rsidRPr="0022646E">
        <w:rPr>
          <w:rStyle w:val="CommentReference"/>
          <w:rFonts w:ascii="Arial" w:hAnsi="Arial" w:cs="Arial"/>
          <w:color w:val="425563"/>
        </w:rPr>
        <w:t xml:space="preserve"> </w:t>
      </w:r>
      <w:hyperlink r:id="rId11" w:history="1">
        <w:r w:rsidRPr="0022646E">
          <w:rPr>
            <w:rStyle w:val="Hyperlink"/>
            <w:rFonts w:cs="Arial"/>
          </w:rPr>
          <w:t>www.dementia-united.org.uk/greater-manchester-hospital-delirium-toolkit</w:t>
        </w:r>
      </w:hyperlink>
      <w:r w:rsidRPr="0022646E">
        <w:rPr>
          <w:rStyle w:val="Hyperlink"/>
          <w:rFonts w:cs="Arial"/>
          <w:color w:val="425563"/>
        </w:rPr>
        <w:t xml:space="preserve"> </w:t>
      </w:r>
    </w:p>
    <w:p w14:paraId="45B8C649" w14:textId="77777777" w:rsidR="0022646E" w:rsidRPr="0022646E" w:rsidRDefault="0022646E" w:rsidP="0022646E">
      <w:pPr>
        <w:spacing w:line="276" w:lineRule="auto"/>
        <w:ind w:right="-619"/>
        <w:rPr>
          <w:rFonts w:ascii="Arial" w:eastAsiaTheme="minorEastAsia" w:hAnsi="Arial" w:cs="Arial"/>
          <w:color w:val="3F5664"/>
        </w:rPr>
      </w:pPr>
    </w:p>
    <w:p w14:paraId="5C9BAFF7" w14:textId="77777777" w:rsidR="0022646E" w:rsidRPr="0022646E" w:rsidRDefault="0022646E" w:rsidP="0022646E">
      <w:pPr>
        <w:spacing w:line="276" w:lineRule="auto"/>
        <w:ind w:right="-619"/>
        <w:rPr>
          <w:rFonts w:ascii="Arial" w:hAnsi="Arial" w:cs="Arial"/>
          <w:color w:val="425563"/>
        </w:rPr>
      </w:pPr>
      <w:r w:rsidRPr="0022646E">
        <w:rPr>
          <w:rFonts w:ascii="Arial" w:eastAsiaTheme="minorEastAsia" w:hAnsi="Arial" w:cs="Arial"/>
          <w:color w:val="3F5664"/>
        </w:rPr>
        <w:t xml:space="preserve">This guidance forms part of the </w:t>
      </w:r>
      <w:r w:rsidRPr="0022646E">
        <w:rPr>
          <w:rFonts w:ascii="Arial" w:eastAsiaTheme="minorEastAsia" w:hAnsi="Arial" w:cs="Arial"/>
          <w:b/>
          <w:bCs/>
          <w:color w:val="3F5664"/>
        </w:rPr>
        <w:t>M</w:t>
      </w:r>
      <w:r w:rsidRPr="0022646E">
        <w:rPr>
          <w:rFonts w:ascii="Arial" w:eastAsiaTheme="minorEastAsia" w:hAnsi="Arial" w:cs="Arial"/>
          <w:color w:val="3F5664"/>
        </w:rPr>
        <w:t xml:space="preserve">anagement and </w:t>
      </w:r>
      <w:r w:rsidRPr="0022646E">
        <w:rPr>
          <w:rFonts w:ascii="Arial" w:eastAsiaTheme="minorEastAsia" w:hAnsi="Arial" w:cs="Arial"/>
          <w:b/>
          <w:bCs/>
          <w:color w:val="3F5664"/>
        </w:rPr>
        <w:t>E</w:t>
      </w:r>
      <w:r w:rsidRPr="0022646E">
        <w:rPr>
          <w:rFonts w:ascii="Arial" w:eastAsiaTheme="minorEastAsia" w:hAnsi="Arial" w:cs="Arial"/>
          <w:color w:val="3F5664"/>
        </w:rPr>
        <w:t xml:space="preserve">ngagement component of the TIME bundle; within the Greater Manchester Hospital Delirium Toolkit. It is not intended to be exhaustive of all medical management and engagement aspects, when supporting someone with delirium. We recognise that not all the guidance will apply. It sits alongside the </w:t>
      </w:r>
      <w:r w:rsidRPr="0022646E">
        <w:rPr>
          <w:rFonts w:ascii="Arial" w:hAnsi="Arial" w:cs="Arial"/>
          <w:color w:val="425563"/>
        </w:rPr>
        <w:t xml:space="preserve">Greater Manchester hospital delirium management and engagement guidance –for non-medical teams (Key Document </w:t>
      </w:r>
      <w:proofErr w:type="spellStart"/>
      <w:r w:rsidRPr="0022646E">
        <w:rPr>
          <w:rFonts w:ascii="Arial" w:hAnsi="Arial" w:cs="Arial"/>
          <w:color w:val="425563"/>
        </w:rPr>
        <w:t>4b</w:t>
      </w:r>
      <w:proofErr w:type="spellEnd"/>
      <w:r w:rsidRPr="0022646E">
        <w:rPr>
          <w:rFonts w:ascii="Arial" w:hAnsi="Arial" w:cs="Arial"/>
          <w:color w:val="425563"/>
        </w:rPr>
        <w:t xml:space="preserve"> of the </w:t>
      </w:r>
      <w:hyperlink r:id="rId12" w:history="1">
        <w:r w:rsidRPr="0022646E">
          <w:rPr>
            <w:rStyle w:val="Hyperlink"/>
          </w:rPr>
          <w:t>hospital delirium toolkit</w:t>
        </w:r>
      </w:hyperlink>
      <w:r w:rsidRPr="0022646E">
        <w:rPr>
          <w:rFonts w:ascii="Arial" w:hAnsi="Arial" w:cs="Arial"/>
          <w:color w:val="425563"/>
        </w:rPr>
        <w:t>)</w:t>
      </w:r>
      <w:r w:rsidRPr="0022646E">
        <w:rPr>
          <w:rStyle w:val="EndnoteReference"/>
          <w:rFonts w:ascii="Arial" w:hAnsi="Arial" w:cs="Arial"/>
          <w:color w:val="425563"/>
        </w:rPr>
        <w:endnoteReference w:id="1"/>
      </w:r>
      <w:r w:rsidRPr="0022646E">
        <w:rPr>
          <w:rFonts w:ascii="Arial" w:hAnsi="Arial" w:cs="Arial"/>
          <w:color w:val="425563"/>
        </w:rPr>
        <w:t xml:space="preserve"> </w:t>
      </w:r>
      <w:r w:rsidRPr="0022646E">
        <w:rPr>
          <w:rFonts w:ascii="Arial" w:eastAsiaTheme="minorEastAsia" w:hAnsi="Arial" w:cs="Arial"/>
          <w:color w:val="3F5664"/>
        </w:rPr>
        <w:t xml:space="preserve">which has a more nursing and person-centred care focus. </w:t>
      </w:r>
    </w:p>
    <w:p w14:paraId="5BBA8194" w14:textId="77777777" w:rsidR="0022646E" w:rsidRPr="0022646E" w:rsidRDefault="0022646E" w:rsidP="0022646E">
      <w:pPr>
        <w:spacing w:line="276" w:lineRule="auto"/>
        <w:ind w:right="-619"/>
        <w:rPr>
          <w:rFonts w:ascii="Arial" w:eastAsiaTheme="minorEastAsia" w:hAnsi="Arial" w:cs="Arial"/>
          <w:color w:val="3F5664"/>
        </w:rPr>
      </w:pPr>
    </w:p>
    <w:p w14:paraId="1D09E55B" w14:textId="77777777" w:rsidR="0022646E" w:rsidRPr="0022646E" w:rsidRDefault="0022646E" w:rsidP="0022646E">
      <w:pPr>
        <w:spacing w:line="276" w:lineRule="auto"/>
        <w:ind w:right="-619"/>
        <w:rPr>
          <w:rFonts w:ascii="Arial" w:eastAsiaTheme="minorEastAsia" w:hAnsi="Arial" w:cs="Arial"/>
          <w:color w:val="3F5664"/>
        </w:rPr>
      </w:pPr>
      <w:r w:rsidRPr="0022646E">
        <w:rPr>
          <w:rFonts w:ascii="Arial" w:eastAsiaTheme="minorEastAsia" w:hAnsi="Arial" w:cs="Arial"/>
          <w:color w:val="3F5664"/>
        </w:rPr>
        <w:t>We anticipate that you will be using this as a guide as a point of reference to consider and return to. This will assist with systematically considering and eliminating aspects and will help to formulate a standardised approach to management.</w:t>
      </w:r>
    </w:p>
    <w:p w14:paraId="1FB09EB1" w14:textId="77777777" w:rsidR="0022646E" w:rsidRPr="0022646E" w:rsidRDefault="0022646E" w:rsidP="0022646E">
      <w:pPr>
        <w:spacing w:line="276" w:lineRule="auto"/>
        <w:ind w:right="-619"/>
        <w:rPr>
          <w:rFonts w:ascii="Arial" w:eastAsiaTheme="minorEastAsia" w:hAnsi="Arial" w:cs="Arial"/>
          <w:b/>
          <w:bCs/>
          <w:color w:val="3F5664"/>
        </w:rPr>
      </w:pPr>
    </w:p>
    <w:p w14:paraId="7B8AB7ED" w14:textId="77777777" w:rsidR="0022646E" w:rsidRPr="0022646E" w:rsidRDefault="0022646E" w:rsidP="0022646E">
      <w:pPr>
        <w:pStyle w:val="Heading1-darkblue"/>
      </w:pPr>
      <w:r w:rsidRPr="0022646E">
        <w:t xml:space="preserve">Medical management </w:t>
      </w:r>
    </w:p>
    <w:p w14:paraId="13BF09A5" w14:textId="77777777" w:rsidR="0022646E" w:rsidRPr="0022646E" w:rsidRDefault="0022646E" w:rsidP="0022646E">
      <w:pPr>
        <w:pStyle w:val="Heading1-darkblue"/>
        <w:ind w:right="-619"/>
        <w:rPr>
          <w:rFonts w:cs="Arial"/>
        </w:rPr>
      </w:pPr>
    </w:p>
    <w:p w14:paraId="22E1ACE0"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Management of delirium begins with the identification and assessment for delirium. </w:t>
      </w:r>
      <w:r w:rsidRPr="0022646E">
        <w:rPr>
          <w:rFonts w:ascii="Arial" w:hAnsi="Arial" w:cs="Arial"/>
          <w:b/>
          <w:bCs/>
          <w:color w:val="425563"/>
        </w:rPr>
        <w:t xml:space="preserve">Complete the </w:t>
      </w:r>
      <w:proofErr w:type="spellStart"/>
      <w:r w:rsidRPr="0022646E">
        <w:rPr>
          <w:rFonts w:ascii="Arial" w:hAnsi="Arial" w:cs="Arial"/>
          <w:b/>
          <w:bCs/>
          <w:color w:val="425563"/>
        </w:rPr>
        <w:t>4AT</w:t>
      </w:r>
      <w:proofErr w:type="spellEnd"/>
      <w:r w:rsidRPr="0022646E">
        <w:rPr>
          <w:rFonts w:ascii="Arial" w:hAnsi="Arial" w:cs="Arial"/>
          <w:b/>
          <w:bCs/>
          <w:color w:val="425563"/>
        </w:rPr>
        <w:t xml:space="preserve"> </w:t>
      </w:r>
      <w:r w:rsidRPr="0022646E">
        <w:rPr>
          <w:rFonts w:ascii="Arial" w:hAnsi="Arial" w:cs="Arial"/>
          <w:b/>
          <w:bCs/>
          <w:color w:val="3F5664"/>
        </w:rPr>
        <w:t>which is a delirium screening requirement (NICE 2023).</w:t>
      </w:r>
    </w:p>
    <w:p w14:paraId="46B1CE1D"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pPr>
      <w:r w:rsidRPr="0022646E">
        <w:rPr>
          <w:color w:val="3F5664"/>
          <w:sz w:val="24"/>
          <w:szCs w:val="24"/>
        </w:rPr>
        <w:t xml:space="preserve">4 A’s </w:t>
      </w:r>
      <w:r w:rsidRPr="0022646E">
        <w:rPr>
          <w:color w:val="5A5A5A"/>
          <w:sz w:val="24"/>
          <w:szCs w:val="24"/>
        </w:rPr>
        <w:t xml:space="preserve">Test for delirium screening (see </w:t>
      </w:r>
      <w:r w:rsidRPr="0022646E">
        <w:rPr>
          <w:b/>
          <w:bCs/>
          <w:color w:val="5A5A5A"/>
          <w:sz w:val="24"/>
          <w:szCs w:val="24"/>
        </w:rPr>
        <w:t>key document 2</w:t>
      </w:r>
      <w:r w:rsidRPr="0022646E">
        <w:rPr>
          <w:color w:val="5A5A5A"/>
          <w:sz w:val="24"/>
          <w:szCs w:val="24"/>
        </w:rPr>
        <w:t xml:space="preserve"> of the </w:t>
      </w:r>
      <w:hyperlink r:id="rId13">
        <w:r w:rsidRPr="0022646E">
          <w:rPr>
            <w:rStyle w:val="Hyperlink"/>
          </w:rPr>
          <w:t>hospital toolkit</w:t>
        </w:r>
      </w:hyperlink>
      <w:r w:rsidRPr="0022646E">
        <w:rPr>
          <w:color w:val="5A5A5A"/>
          <w:sz w:val="24"/>
          <w:szCs w:val="24"/>
        </w:rPr>
        <w:t>)</w:t>
      </w:r>
      <w:r w:rsidRPr="0022646E">
        <w:rPr>
          <w:rStyle w:val="EndnoteReference"/>
          <w:sz w:val="24"/>
          <w:szCs w:val="24"/>
        </w:rPr>
        <w:endnoteReference w:id="2"/>
      </w:r>
    </w:p>
    <w:p w14:paraId="2E3D05FA"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761B20AF" w14:textId="77777777" w:rsidR="0022646E" w:rsidRPr="0022646E" w:rsidRDefault="0022646E" w:rsidP="0022646E">
      <w:pPr>
        <w:autoSpaceDE w:val="0"/>
        <w:autoSpaceDN w:val="0"/>
        <w:adjustRightInd w:val="0"/>
        <w:spacing w:line="276" w:lineRule="auto"/>
        <w:ind w:right="-619"/>
        <w:rPr>
          <w:rFonts w:ascii="Arial" w:hAnsi="Arial" w:cs="Arial"/>
          <w:color w:val="3F5664"/>
          <w:szCs w:val="32"/>
        </w:rPr>
      </w:pPr>
      <w:r w:rsidRPr="0022646E">
        <w:rPr>
          <w:rFonts w:ascii="Arial" w:hAnsi="Arial" w:cs="Arial"/>
          <w:color w:val="3F5664"/>
        </w:rPr>
        <w:t xml:space="preserve">The </w:t>
      </w:r>
      <w:proofErr w:type="spellStart"/>
      <w:r w:rsidRPr="0022646E">
        <w:rPr>
          <w:rFonts w:ascii="Arial" w:hAnsi="Arial" w:cs="Arial"/>
          <w:color w:val="3F5664"/>
        </w:rPr>
        <w:t>4AT</w:t>
      </w:r>
      <w:proofErr w:type="spellEnd"/>
      <w:r w:rsidRPr="0022646E">
        <w:rPr>
          <w:rFonts w:ascii="Arial" w:hAnsi="Arial" w:cs="Arial"/>
          <w:color w:val="3F5664"/>
        </w:rPr>
        <w:t xml:space="preserve"> is recommended for use for identification of patients with probable delirium. It requires little training and is quick and easy to use. A score of 4 or above suggests delirium +/- underlying </w:t>
      </w:r>
      <w:proofErr w:type="gramStart"/>
      <w:r w:rsidRPr="0022646E">
        <w:rPr>
          <w:rFonts w:ascii="Arial" w:hAnsi="Arial" w:cs="Arial"/>
          <w:color w:val="3F5664"/>
        </w:rPr>
        <w:t>dementia</w:t>
      </w:r>
      <w:proofErr w:type="gramEnd"/>
      <w:r w:rsidRPr="0022646E">
        <w:rPr>
          <w:rFonts w:ascii="Arial" w:hAnsi="Arial" w:cs="Arial"/>
          <w:color w:val="3F5664"/>
        </w:rPr>
        <w:t xml:space="preserve"> </w:t>
      </w:r>
    </w:p>
    <w:p w14:paraId="09C1C3C0"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rPr>
          <w:color w:val="3F5664"/>
        </w:rPr>
      </w:pPr>
      <w:r w:rsidRPr="0022646E">
        <w:rPr>
          <w:color w:val="3F5664"/>
          <w:sz w:val="24"/>
          <w:szCs w:val="24"/>
        </w:rPr>
        <w:t xml:space="preserve">A score of 1-3 suggests possible cognitive impairment (unspecified) </w:t>
      </w:r>
    </w:p>
    <w:p w14:paraId="697F5F0F"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rPr>
          <w:color w:val="3F5664"/>
        </w:rPr>
      </w:pPr>
      <w:r w:rsidRPr="0022646E">
        <w:rPr>
          <w:color w:val="3F5664"/>
          <w:sz w:val="24"/>
          <w:szCs w:val="24"/>
        </w:rPr>
        <w:t xml:space="preserve">A score of 0 suggests cognitive impairment is unlikely to be </w:t>
      </w:r>
      <w:proofErr w:type="gramStart"/>
      <w:r w:rsidRPr="0022646E">
        <w:rPr>
          <w:color w:val="3F5664"/>
          <w:sz w:val="24"/>
          <w:szCs w:val="24"/>
        </w:rPr>
        <w:t>present</w:t>
      </w:r>
      <w:proofErr w:type="gramEnd"/>
    </w:p>
    <w:p w14:paraId="566EB922"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70C142C3" w14:textId="77777777" w:rsidR="0022646E" w:rsidRPr="0022646E" w:rsidRDefault="0022646E" w:rsidP="0022646E">
      <w:pPr>
        <w:autoSpaceDE w:val="0"/>
        <w:autoSpaceDN w:val="0"/>
        <w:adjustRightInd w:val="0"/>
        <w:spacing w:line="276" w:lineRule="auto"/>
        <w:ind w:right="-619"/>
        <w:rPr>
          <w:rFonts w:ascii="Arial" w:hAnsi="Arial" w:cs="Arial"/>
          <w:color w:val="3F5664"/>
          <w:szCs w:val="32"/>
        </w:rPr>
      </w:pPr>
      <w:r w:rsidRPr="0022646E">
        <w:rPr>
          <w:rFonts w:ascii="Arial" w:hAnsi="Arial" w:cs="Arial"/>
          <w:color w:val="3F5664"/>
        </w:rPr>
        <w:t xml:space="preserve">Pay attention to the </w:t>
      </w:r>
      <w:proofErr w:type="spellStart"/>
      <w:r w:rsidRPr="0022646E">
        <w:rPr>
          <w:rFonts w:ascii="Arial" w:hAnsi="Arial" w:cs="Arial"/>
          <w:color w:val="3F5664"/>
        </w:rPr>
        <w:t>4AT</w:t>
      </w:r>
      <w:proofErr w:type="spellEnd"/>
      <w:r w:rsidRPr="0022646E">
        <w:rPr>
          <w:rFonts w:ascii="Arial" w:hAnsi="Arial" w:cs="Arial"/>
          <w:color w:val="3F5664"/>
        </w:rPr>
        <w:t xml:space="preserve"> guidance notes. </w:t>
      </w:r>
    </w:p>
    <w:p w14:paraId="412B24E2"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rPr>
          <w:color w:val="3F5664"/>
        </w:rPr>
      </w:pPr>
      <w:r w:rsidRPr="0022646E">
        <w:rPr>
          <w:color w:val="3F5664"/>
          <w:sz w:val="24"/>
          <w:szCs w:val="24"/>
        </w:rPr>
        <w:t>Testing attention is the key e.g., the months of the year backwards, or count 20 to 1.</w:t>
      </w:r>
    </w:p>
    <w:p w14:paraId="2F32B743"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rPr>
          <w:color w:val="3F5664"/>
        </w:rPr>
      </w:pPr>
      <w:r w:rsidRPr="0022646E">
        <w:rPr>
          <w:color w:val="3F5664"/>
          <w:sz w:val="24"/>
          <w:szCs w:val="24"/>
        </w:rPr>
        <w:t>Altered arousal. How sleepy are they? Not holding string of conversation together?</w:t>
      </w:r>
    </w:p>
    <w:p w14:paraId="47AD51EB"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rPr>
          <w:color w:val="3F5664"/>
        </w:rPr>
      </w:pPr>
      <w:r w:rsidRPr="0022646E">
        <w:rPr>
          <w:color w:val="3F5664"/>
          <w:sz w:val="24"/>
          <w:szCs w:val="24"/>
        </w:rPr>
        <w:t>Liaise with someone who knows the person well to determine if they have become suddenly more confused – family, care home staff, care provider.</w:t>
      </w:r>
    </w:p>
    <w:p w14:paraId="5F2C7046" w14:textId="77777777" w:rsidR="0022646E" w:rsidRPr="0022646E" w:rsidRDefault="0022646E" w:rsidP="0022646E">
      <w:pPr>
        <w:pStyle w:val="ListParagraph"/>
        <w:widowControl/>
        <w:numPr>
          <w:ilvl w:val="0"/>
          <w:numId w:val="9"/>
        </w:numPr>
        <w:autoSpaceDE w:val="0"/>
        <w:autoSpaceDN w:val="0"/>
        <w:adjustRightInd w:val="0"/>
        <w:spacing w:line="276" w:lineRule="auto"/>
        <w:ind w:right="-619"/>
        <w:contextualSpacing/>
      </w:pPr>
      <w:r w:rsidRPr="0022646E">
        <w:rPr>
          <w:color w:val="3F5664"/>
          <w:sz w:val="24"/>
          <w:szCs w:val="24"/>
        </w:rPr>
        <w:t xml:space="preserve">The </w:t>
      </w:r>
      <w:proofErr w:type="spellStart"/>
      <w:r w:rsidRPr="0022646E">
        <w:rPr>
          <w:color w:val="3F5664"/>
          <w:sz w:val="24"/>
          <w:szCs w:val="24"/>
        </w:rPr>
        <w:t>4AT</w:t>
      </w:r>
      <w:proofErr w:type="spellEnd"/>
      <w:r w:rsidRPr="0022646E">
        <w:rPr>
          <w:color w:val="3F5664"/>
          <w:sz w:val="24"/>
          <w:szCs w:val="24"/>
        </w:rPr>
        <w:t xml:space="preserve"> has been translated in to 20 </w:t>
      </w:r>
      <w:r w:rsidRPr="0022646E">
        <w:rPr>
          <w:color w:val="425563"/>
          <w:sz w:val="24"/>
          <w:szCs w:val="24"/>
        </w:rPr>
        <w:t xml:space="preserve">different languages and therefore we suggest using these with a translator - accessible </w:t>
      </w:r>
      <w:hyperlink r:id="rId14">
        <w:r w:rsidRPr="0022646E">
          <w:rPr>
            <w:rStyle w:val="Hyperlink"/>
          </w:rPr>
          <w:t>via the link</w:t>
        </w:r>
      </w:hyperlink>
      <w:r w:rsidRPr="0022646E">
        <w:rPr>
          <w:color w:val="425563"/>
          <w:sz w:val="24"/>
          <w:szCs w:val="24"/>
        </w:rPr>
        <w:t xml:space="preserve"> </w:t>
      </w:r>
      <w:r w:rsidRPr="0022646E">
        <w:rPr>
          <w:rStyle w:val="EndnoteReference"/>
          <w:color w:val="425563"/>
          <w:sz w:val="24"/>
          <w:szCs w:val="24"/>
        </w:rPr>
        <w:endnoteReference w:id="3"/>
      </w:r>
    </w:p>
    <w:p w14:paraId="46DC0758" w14:textId="77777777" w:rsidR="0022646E" w:rsidRPr="0022646E" w:rsidRDefault="0022646E" w:rsidP="0022646E">
      <w:pPr>
        <w:autoSpaceDE w:val="0"/>
        <w:autoSpaceDN w:val="0"/>
        <w:adjustRightInd w:val="0"/>
        <w:spacing w:line="276" w:lineRule="auto"/>
        <w:ind w:right="-619"/>
        <w:rPr>
          <w:rFonts w:ascii="Arial" w:hAnsi="Arial" w:cs="Arial"/>
        </w:rPr>
      </w:pPr>
    </w:p>
    <w:p w14:paraId="0212939D" w14:textId="77777777" w:rsidR="0022646E" w:rsidRPr="0022646E" w:rsidRDefault="0022646E" w:rsidP="0022646E">
      <w:pPr>
        <w:autoSpaceDE w:val="0"/>
        <w:autoSpaceDN w:val="0"/>
        <w:adjustRightInd w:val="0"/>
        <w:spacing w:line="276" w:lineRule="auto"/>
        <w:ind w:right="-619"/>
        <w:rPr>
          <w:rFonts w:ascii="Arial" w:eastAsia="Helvetica" w:hAnsi="Arial" w:cs="Arial"/>
          <w:color w:val="3F5664"/>
          <w:szCs w:val="32"/>
          <w:lang w:val="en-US"/>
        </w:rPr>
      </w:pPr>
      <w:r w:rsidRPr="0022646E">
        <w:rPr>
          <w:rFonts w:ascii="Arial" w:hAnsi="Arial" w:cs="Arial"/>
          <w:color w:val="3E5F73"/>
        </w:rPr>
        <w:t xml:space="preserve">Please note that </w:t>
      </w:r>
      <w:r w:rsidRPr="0022646E">
        <w:rPr>
          <w:rFonts w:ascii="Arial" w:eastAsia="Helvetica" w:hAnsi="Arial" w:cs="Arial"/>
          <w:color w:val="3E5F73"/>
        </w:rPr>
        <w:t xml:space="preserve">despite updated guidance on how to assess for new confusion as part of </w:t>
      </w:r>
      <w:proofErr w:type="spellStart"/>
      <w:r w:rsidRPr="0022646E">
        <w:rPr>
          <w:rFonts w:ascii="Arial" w:eastAsia="Helvetica" w:hAnsi="Arial" w:cs="Arial"/>
          <w:color w:val="3E5F73"/>
        </w:rPr>
        <w:t>NEWS2</w:t>
      </w:r>
      <w:proofErr w:type="spellEnd"/>
      <w:r w:rsidRPr="0022646E">
        <w:rPr>
          <w:rFonts w:ascii="Arial" w:eastAsia="Helvetica" w:hAnsi="Arial" w:cs="Arial"/>
          <w:color w:val="3E5F73"/>
        </w:rPr>
        <w:t xml:space="preserve">, the scoring as currently implemented cannot be relied upon for delirium detection (Vardy et al 2022). The recommendation from NHS England (2023) of the triple assessment using the </w:t>
      </w:r>
      <w:proofErr w:type="spellStart"/>
      <w:r w:rsidRPr="0022646E">
        <w:rPr>
          <w:rFonts w:ascii="Arial" w:eastAsia="Helvetica" w:hAnsi="Arial" w:cs="Arial"/>
          <w:color w:val="3E5F73"/>
        </w:rPr>
        <w:t>4AT</w:t>
      </w:r>
      <w:proofErr w:type="spellEnd"/>
      <w:r w:rsidRPr="0022646E">
        <w:rPr>
          <w:rFonts w:ascii="Arial" w:eastAsia="Helvetica" w:hAnsi="Arial" w:cs="Arial"/>
          <w:color w:val="3E5F73"/>
        </w:rPr>
        <w:t xml:space="preserve">, </w:t>
      </w:r>
      <w:proofErr w:type="spellStart"/>
      <w:r w:rsidRPr="0022646E">
        <w:rPr>
          <w:rFonts w:ascii="Arial" w:eastAsia="Helvetica" w:hAnsi="Arial" w:cs="Arial"/>
          <w:color w:val="3E5F73"/>
        </w:rPr>
        <w:t>NEWS2</w:t>
      </w:r>
      <w:proofErr w:type="spellEnd"/>
      <w:r w:rsidRPr="0022646E">
        <w:rPr>
          <w:rFonts w:ascii="Arial" w:eastAsia="Helvetica" w:hAnsi="Arial" w:cs="Arial"/>
          <w:color w:val="3E5F73"/>
        </w:rPr>
        <w:t xml:space="preserve"> and Clinical Frailty Scale recommended by the Getting It Right First </w:t>
      </w:r>
      <w:r w:rsidRPr="0022646E">
        <w:rPr>
          <w:rFonts w:ascii="Arial" w:eastAsia="Helvetica" w:hAnsi="Arial" w:cs="Arial"/>
          <w:color w:val="3F5664"/>
        </w:rPr>
        <w:t>Time (</w:t>
      </w:r>
      <w:proofErr w:type="spellStart"/>
      <w:r w:rsidRPr="0022646E">
        <w:rPr>
          <w:rFonts w:ascii="Arial" w:eastAsia="Helvetica" w:hAnsi="Arial" w:cs="Arial"/>
          <w:color w:val="3F5664"/>
        </w:rPr>
        <w:t>GIRFT</w:t>
      </w:r>
      <w:proofErr w:type="spellEnd"/>
      <w:r w:rsidRPr="0022646E">
        <w:rPr>
          <w:rFonts w:ascii="Arial" w:eastAsia="Helvetica" w:hAnsi="Arial" w:cs="Arial"/>
          <w:color w:val="3F5664"/>
        </w:rPr>
        <w:t>) geriatric medicine report may be a meaningful way forward for older patients.</w:t>
      </w:r>
    </w:p>
    <w:p w14:paraId="1DB59CF1"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5B529827"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The next step in the medical management is </w:t>
      </w:r>
      <w:r w:rsidRPr="0022646E">
        <w:rPr>
          <w:rFonts w:ascii="Arial" w:hAnsi="Arial" w:cs="Arial"/>
          <w:b/>
          <w:bCs/>
          <w:color w:val="3F5664"/>
        </w:rPr>
        <w:t xml:space="preserve">identifying the </w:t>
      </w:r>
      <w:r w:rsidRPr="0022646E">
        <w:rPr>
          <w:rFonts w:ascii="Arial" w:hAnsi="Arial" w:cs="Arial"/>
          <w:b/>
          <w:color w:val="3F5664"/>
        </w:rPr>
        <w:t>cause or causes</w:t>
      </w:r>
      <w:r w:rsidRPr="0022646E">
        <w:rPr>
          <w:rFonts w:ascii="Arial" w:hAnsi="Arial" w:cs="Arial"/>
          <w:b/>
          <w:bCs/>
          <w:color w:val="3F5664"/>
        </w:rPr>
        <w:t xml:space="preserve"> of delirium</w:t>
      </w:r>
      <w:r w:rsidRPr="0022646E">
        <w:rPr>
          <w:rFonts w:ascii="Arial" w:hAnsi="Arial" w:cs="Arial"/>
          <w:color w:val="3F5664"/>
        </w:rPr>
        <w:t xml:space="preserve">. It is worth noting that other complications may arise which can exacerbate the delirium or relapse an improving delirium. </w:t>
      </w:r>
    </w:p>
    <w:p w14:paraId="0AA3EF68" w14:textId="77777777" w:rsidR="0022646E" w:rsidRPr="0022646E" w:rsidRDefault="0022646E" w:rsidP="0022646E">
      <w:pPr>
        <w:spacing w:line="276" w:lineRule="auto"/>
        <w:ind w:right="-619"/>
        <w:rPr>
          <w:rFonts w:ascii="Arial" w:hAnsi="Arial" w:cs="Arial"/>
          <w:color w:val="3E5F73"/>
        </w:rPr>
      </w:pPr>
    </w:p>
    <w:p w14:paraId="4E241716"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Always return to use the PINCH ME Triggers and build in regular reviews, document the frequency of the review and when to bring forward or indications of improvement.</w:t>
      </w:r>
    </w:p>
    <w:p w14:paraId="59968A92" w14:textId="77777777" w:rsidR="0022646E" w:rsidRPr="0022646E" w:rsidRDefault="0022646E" w:rsidP="0022646E">
      <w:pPr>
        <w:spacing w:line="276" w:lineRule="auto"/>
        <w:ind w:right="-619"/>
        <w:rPr>
          <w:rFonts w:ascii="Arial" w:hAnsi="Arial" w:cs="Arial"/>
          <w:b/>
          <w:bCs/>
          <w:color w:val="3E5F73"/>
        </w:rPr>
      </w:pPr>
    </w:p>
    <w:p w14:paraId="7F4EEC3C" w14:textId="77777777" w:rsidR="0022646E" w:rsidRDefault="0022646E" w:rsidP="0022646E">
      <w:pPr>
        <w:spacing w:line="276" w:lineRule="auto"/>
        <w:ind w:right="-619"/>
        <w:rPr>
          <w:rFonts w:ascii="Arial" w:hAnsi="Arial" w:cs="Arial"/>
          <w:color w:val="425563"/>
        </w:rPr>
      </w:pPr>
      <w:r w:rsidRPr="0022646E">
        <w:rPr>
          <w:rFonts w:ascii="Arial" w:hAnsi="Arial" w:cs="Arial"/>
          <w:color w:val="3E5F73"/>
        </w:rPr>
        <w:t>The PINCH ME infographic (shown below) acts as a quick reminder of delirium triggers. It is vitally important that you work through all possible triggers. Please see the</w:t>
      </w:r>
      <w:r w:rsidRPr="0022646E">
        <w:rPr>
          <w:rFonts w:ascii="Arial" w:hAnsi="Arial" w:cs="Arial"/>
          <w:b/>
          <w:bCs/>
          <w:color w:val="3E5F73"/>
        </w:rPr>
        <w:t xml:space="preserve"> </w:t>
      </w:r>
      <w:hyperlink r:id="rId15" w:history="1">
        <w:r w:rsidRPr="0022646E">
          <w:rPr>
            <w:rStyle w:val="Hyperlink"/>
            <w:rFonts w:cs="Arial"/>
          </w:rPr>
          <w:t>Greater Manchester hospital delirium TIME Bundle (Triggers, Investigations, Management, Engagement) (</w:t>
        </w:r>
        <w:r w:rsidRPr="0022646E">
          <w:rPr>
            <w:rFonts w:ascii="Arial" w:eastAsiaTheme="minorEastAsia" w:hAnsi="Arial" w:cs="Arial"/>
            <w:color w:val="425563"/>
          </w:rPr>
          <w:t xml:space="preserve">Key Document 3 </w:t>
        </w:r>
        <w:bookmarkStart w:id="0" w:name="_Hlk159246466"/>
        <w:r w:rsidRPr="0022646E">
          <w:rPr>
            <w:rFonts w:ascii="Arial" w:hAnsi="Arial" w:cs="Arial"/>
            <w:color w:val="425563"/>
          </w:rPr>
          <w:t xml:space="preserve">of the </w:t>
        </w:r>
        <w:hyperlink r:id="rId16" w:history="1">
          <w:r w:rsidRPr="0022646E">
            <w:rPr>
              <w:rStyle w:val="Hyperlink"/>
              <w:rFonts w:cs="Arial"/>
            </w:rPr>
            <w:t>hospital delirium toolkit</w:t>
          </w:r>
        </w:hyperlink>
        <w:r w:rsidRPr="0022646E">
          <w:rPr>
            <w:rFonts w:ascii="Arial" w:hAnsi="Arial" w:cs="Arial"/>
            <w:color w:val="425563"/>
          </w:rPr>
          <w:t>)</w:t>
        </w:r>
        <w:bookmarkEnd w:id="0"/>
        <w:r w:rsidRPr="0022646E">
          <w:rPr>
            <w:rStyle w:val="EndnoteReference"/>
            <w:rFonts w:ascii="Arial" w:hAnsi="Arial" w:cs="Arial"/>
            <w:color w:val="425563"/>
          </w:rPr>
          <w:endnoteReference w:id="4"/>
        </w:r>
      </w:hyperlink>
      <w:r w:rsidRPr="0022646E">
        <w:rPr>
          <w:rFonts w:ascii="Arial" w:hAnsi="Arial" w:cs="Arial"/>
          <w:color w:val="425563"/>
        </w:rPr>
        <w:t>.</w:t>
      </w:r>
    </w:p>
    <w:p w14:paraId="667A3741" w14:textId="77777777" w:rsidR="0022646E" w:rsidRDefault="0022646E" w:rsidP="0022646E">
      <w:pPr>
        <w:spacing w:line="276" w:lineRule="auto"/>
        <w:ind w:right="-619"/>
        <w:rPr>
          <w:rFonts w:ascii="Arial" w:hAnsi="Arial" w:cs="Arial"/>
          <w:color w:val="425563"/>
        </w:rPr>
      </w:pPr>
    </w:p>
    <w:p w14:paraId="07B1ADC8" w14:textId="77777777" w:rsidR="0022646E" w:rsidRPr="0022646E" w:rsidRDefault="0022646E" w:rsidP="0022646E">
      <w:pPr>
        <w:spacing w:line="276" w:lineRule="auto"/>
        <w:ind w:right="-619"/>
        <w:rPr>
          <w:rFonts w:ascii="Arial" w:hAnsi="Arial" w:cs="Arial"/>
          <w:color w:val="425563"/>
        </w:rPr>
      </w:pPr>
    </w:p>
    <w:p w14:paraId="177150C1" w14:textId="77777777" w:rsidR="0022646E" w:rsidRDefault="0022646E" w:rsidP="0022646E">
      <w:pPr>
        <w:spacing w:line="276" w:lineRule="auto"/>
        <w:ind w:right="-619"/>
        <w:rPr>
          <w:rFonts w:ascii="Arial" w:hAnsi="Arial" w:cs="Arial"/>
          <w:color w:val="3F5664"/>
        </w:rPr>
      </w:pPr>
      <w:r w:rsidRPr="0022646E">
        <w:rPr>
          <w:rFonts w:ascii="Arial" w:hAnsi="Arial" w:cs="Arial"/>
          <w:noProof/>
        </w:rPr>
        <w:lastRenderedPageBreak/>
        <w:drawing>
          <wp:inline distT="0" distB="0" distL="0" distR="0" wp14:anchorId="237D5690" wp14:editId="1A6E9719">
            <wp:extent cx="1852401" cy="2940050"/>
            <wp:effectExtent l="0" t="0" r="0" b="0"/>
            <wp:docPr id="384983043" name="Picture 384983043" descr="A graphic of the PINCHME mnemonic. P for pain, I for infection, N for nutrition, C for constipation, H for hydration, M for medication and E for enviro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83043" name="Picture 384983043" descr="A graphic of the PINCHME mnemonic. P for pain, I for infection, N for nutrition, C for constipation, H for hydration, M for medication and E for environment "/>
                    <pic:cNvPicPr/>
                  </pic:nvPicPr>
                  <pic:blipFill>
                    <a:blip r:embed="rId17">
                      <a:extLst>
                        <a:ext uri="{28A0092B-C50C-407E-A947-70E740481C1C}">
                          <a14:useLocalDpi xmlns:a14="http://schemas.microsoft.com/office/drawing/2010/main" val="0"/>
                        </a:ext>
                      </a:extLst>
                    </a:blip>
                    <a:stretch>
                      <a:fillRect/>
                    </a:stretch>
                  </pic:blipFill>
                  <pic:spPr>
                    <a:xfrm>
                      <a:off x="0" y="0"/>
                      <a:ext cx="1853220" cy="2941350"/>
                    </a:xfrm>
                    <a:prstGeom prst="rect">
                      <a:avLst/>
                    </a:prstGeom>
                  </pic:spPr>
                </pic:pic>
              </a:graphicData>
            </a:graphic>
          </wp:inline>
        </w:drawing>
      </w:r>
      <w:r w:rsidRPr="0022646E">
        <w:rPr>
          <w:rFonts w:ascii="Arial" w:hAnsi="Arial" w:cs="Arial"/>
          <w:color w:val="3F5664"/>
        </w:rPr>
        <w:t xml:space="preserve">    </w:t>
      </w:r>
    </w:p>
    <w:p w14:paraId="11C9BAE7" w14:textId="4664788B" w:rsidR="0022646E" w:rsidRPr="0022646E" w:rsidRDefault="0022646E" w:rsidP="0022646E">
      <w:pPr>
        <w:spacing w:line="276" w:lineRule="auto"/>
        <w:ind w:right="-619"/>
        <w:rPr>
          <w:rFonts w:ascii="Arial" w:hAnsi="Arial" w:cs="Arial"/>
          <w:color w:val="3F5664"/>
        </w:rPr>
      </w:pPr>
      <w:r w:rsidRPr="0022646E">
        <w:rPr>
          <w:rFonts w:ascii="Arial" w:hAnsi="Arial" w:cs="Arial"/>
          <w:color w:val="3F5664"/>
        </w:rPr>
        <w:t>British Geriatric Society 2021</w:t>
      </w:r>
    </w:p>
    <w:p w14:paraId="0313E233" w14:textId="77777777" w:rsidR="0022646E" w:rsidRPr="0022646E" w:rsidRDefault="0022646E" w:rsidP="0022646E">
      <w:pPr>
        <w:spacing w:line="276" w:lineRule="auto"/>
        <w:ind w:right="-619"/>
        <w:rPr>
          <w:rFonts w:ascii="Arial" w:hAnsi="Arial" w:cs="Arial"/>
          <w:color w:val="3F5664"/>
          <w:lang w:val="en-US"/>
        </w:rPr>
      </w:pPr>
    </w:p>
    <w:p w14:paraId="2CD96D6F"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2C4809EE"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The next step in the medical management is </w:t>
      </w:r>
      <w:r w:rsidRPr="0022646E">
        <w:rPr>
          <w:rFonts w:ascii="Arial" w:hAnsi="Arial" w:cs="Arial"/>
          <w:b/>
          <w:bCs/>
          <w:color w:val="3F5664"/>
        </w:rPr>
        <w:t>focusing on ongoing management of delirium principles</w:t>
      </w:r>
      <w:r w:rsidRPr="0022646E">
        <w:rPr>
          <w:rFonts w:ascii="Arial" w:hAnsi="Arial" w:cs="Arial"/>
          <w:color w:val="3F5664"/>
        </w:rPr>
        <w:t>.</w:t>
      </w:r>
    </w:p>
    <w:p w14:paraId="62B1A854" w14:textId="77777777" w:rsidR="0022646E" w:rsidRPr="0022646E" w:rsidRDefault="0022646E" w:rsidP="0022646E">
      <w:pPr>
        <w:spacing w:line="276" w:lineRule="auto"/>
        <w:ind w:right="-619"/>
        <w:rPr>
          <w:rFonts w:ascii="Arial" w:hAnsi="Arial" w:cs="Arial"/>
          <w:color w:val="3F5664"/>
        </w:rPr>
      </w:pPr>
    </w:p>
    <w:p w14:paraId="5493998C" w14:textId="77777777" w:rsidR="0022646E" w:rsidRPr="0022646E" w:rsidRDefault="0022646E" w:rsidP="0022646E">
      <w:pPr>
        <w:pStyle w:val="Default"/>
        <w:spacing w:line="276" w:lineRule="auto"/>
        <w:ind w:right="-619"/>
        <w:rPr>
          <w:color w:val="3F5664"/>
        </w:rPr>
      </w:pPr>
      <w:r w:rsidRPr="0022646E">
        <w:rPr>
          <w:b/>
          <w:bCs/>
          <w:color w:val="3F5664"/>
        </w:rPr>
        <w:t>Review medications</w:t>
      </w:r>
      <w:r w:rsidRPr="0022646E">
        <w:rPr>
          <w:color w:val="3F5664"/>
        </w:rPr>
        <w:t xml:space="preserve"> the person is taking for other conditions, as these may need to be reduced or stopped, if it is felt that they may contribute to sustaining the person’s delirium. </w:t>
      </w:r>
    </w:p>
    <w:p w14:paraId="3D767371" w14:textId="77777777" w:rsidR="0022646E" w:rsidRPr="0022646E" w:rsidRDefault="0022646E" w:rsidP="0022646E">
      <w:pPr>
        <w:pStyle w:val="ListParagraph"/>
        <w:widowControl/>
        <w:numPr>
          <w:ilvl w:val="0"/>
          <w:numId w:val="1"/>
        </w:numPr>
        <w:spacing w:line="276" w:lineRule="auto"/>
        <w:ind w:right="-619"/>
        <w:contextualSpacing/>
        <w:rPr>
          <w:color w:val="0070C0"/>
          <w:sz w:val="24"/>
          <w:szCs w:val="24"/>
        </w:rPr>
      </w:pPr>
      <w:r w:rsidRPr="0022646E">
        <w:rPr>
          <w:color w:val="3F5664"/>
          <w:sz w:val="24"/>
          <w:szCs w:val="24"/>
        </w:rPr>
        <w:t xml:space="preserve">Review any new medications that may have caused delirium. For example, steroids, or opiates, those with anticholinergic properties – refer to </w:t>
      </w:r>
      <w:hyperlink r:id="rId18" w:history="1">
        <w:r w:rsidRPr="0022646E">
          <w:rPr>
            <w:rStyle w:val="Hyperlink"/>
          </w:rPr>
          <w:t>Hints and tips for anticholinergic burden (</w:t>
        </w:r>
        <w:proofErr w:type="spellStart"/>
        <w:r w:rsidRPr="0022646E">
          <w:rPr>
            <w:rStyle w:val="Hyperlink"/>
          </w:rPr>
          <w:t>ACB</w:t>
        </w:r>
        <w:proofErr w:type="spellEnd"/>
        <w:r w:rsidRPr="0022646E">
          <w:rPr>
            <w:rStyle w:val="Hyperlink"/>
          </w:rPr>
          <w:t>) medication reviews</w:t>
        </w:r>
      </w:hyperlink>
      <w:r w:rsidRPr="0022646E">
        <w:rPr>
          <w:rStyle w:val="EndnoteReference"/>
          <w:iCs/>
          <w:color w:val="425563"/>
          <w:sz w:val="24"/>
          <w:szCs w:val="24"/>
        </w:rPr>
        <w:endnoteReference w:id="5"/>
      </w:r>
      <w:r w:rsidRPr="0022646E">
        <w:rPr>
          <w:iCs/>
          <w:color w:val="425563"/>
          <w:sz w:val="24"/>
          <w:szCs w:val="24"/>
        </w:rPr>
        <w:t xml:space="preserve">. </w:t>
      </w:r>
      <w:r w:rsidRPr="0022646E">
        <w:rPr>
          <w:iCs/>
          <w:color w:val="0070C0"/>
          <w:sz w:val="24"/>
          <w:szCs w:val="24"/>
        </w:rPr>
        <w:t xml:space="preserve"> </w:t>
      </w:r>
    </w:p>
    <w:p w14:paraId="043778E4" w14:textId="77777777" w:rsidR="0022646E" w:rsidRPr="0022646E" w:rsidRDefault="0022646E" w:rsidP="0022646E">
      <w:pPr>
        <w:pStyle w:val="ListParagraph"/>
        <w:widowControl/>
        <w:numPr>
          <w:ilvl w:val="0"/>
          <w:numId w:val="1"/>
        </w:numPr>
        <w:spacing w:line="276" w:lineRule="auto"/>
        <w:ind w:right="-619"/>
        <w:contextualSpacing/>
        <w:rPr>
          <w:color w:val="0070C0"/>
          <w:sz w:val="24"/>
          <w:szCs w:val="24"/>
        </w:rPr>
      </w:pPr>
      <w:r w:rsidRPr="0022646E">
        <w:rPr>
          <w:color w:val="425563"/>
          <w:sz w:val="24"/>
          <w:szCs w:val="20"/>
          <w:shd w:val="clear" w:color="auto" w:fill="FFFFFF"/>
        </w:rPr>
        <w:t xml:space="preserve">Accurate quantification of anticholinergic burden is important in assessing relative risks versus benefits of prescribing anticholinergic medications. In this review, the Anticholinergic Drug Scale and the Anticholinergic Cognitive Burden scale and the average daily dose and cumulative dose measures, were determined to be well suited for the quantification of anticholinergic exposure Lozano-Ortego et al (2019) </w:t>
      </w:r>
    </w:p>
    <w:p w14:paraId="5F257734" w14:textId="77777777" w:rsidR="0022646E" w:rsidRPr="0022646E" w:rsidRDefault="005A5EE8" w:rsidP="0022646E">
      <w:pPr>
        <w:pStyle w:val="ListParagraph"/>
        <w:widowControl/>
        <w:numPr>
          <w:ilvl w:val="0"/>
          <w:numId w:val="1"/>
        </w:numPr>
        <w:spacing w:line="276" w:lineRule="auto"/>
        <w:ind w:right="-619"/>
        <w:contextualSpacing/>
        <w:rPr>
          <w:rStyle w:val="Hyperlink"/>
          <w:color w:val="425563"/>
          <w:szCs w:val="20"/>
          <w:shd w:val="clear" w:color="auto" w:fill="FFFFFF"/>
        </w:rPr>
      </w:pPr>
      <w:hyperlink r:id="rId19" w:history="1">
        <w:proofErr w:type="spellStart"/>
        <w:r w:rsidR="0022646E" w:rsidRPr="0022646E">
          <w:rPr>
            <w:rStyle w:val="Hyperlink"/>
          </w:rPr>
          <w:t>ACB</w:t>
        </w:r>
        <w:proofErr w:type="spellEnd"/>
        <w:r w:rsidR="0022646E" w:rsidRPr="0022646E">
          <w:rPr>
            <w:rStyle w:val="Hyperlink"/>
          </w:rPr>
          <w:t xml:space="preserve"> Calculator</w:t>
        </w:r>
      </w:hyperlink>
      <w:r w:rsidR="0022646E" w:rsidRPr="0022646E">
        <w:rPr>
          <w:rStyle w:val="Hyperlink"/>
          <w:color w:val="425563"/>
        </w:rPr>
        <w:t xml:space="preserve"> </w:t>
      </w:r>
      <w:r w:rsidR="0022646E" w:rsidRPr="0022646E">
        <w:rPr>
          <w:rStyle w:val="EndnoteReference"/>
          <w:color w:val="425563"/>
        </w:rPr>
        <w:endnoteReference w:id="6"/>
      </w:r>
    </w:p>
    <w:p w14:paraId="3B5ADE75" w14:textId="77777777" w:rsidR="0022646E" w:rsidRPr="0022646E" w:rsidRDefault="0022646E" w:rsidP="0022646E">
      <w:pPr>
        <w:pStyle w:val="ListParagraph"/>
        <w:widowControl/>
        <w:numPr>
          <w:ilvl w:val="0"/>
          <w:numId w:val="1"/>
        </w:numPr>
        <w:spacing w:line="276" w:lineRule="auto"/>
        <w:ind w:right="-619"/>
        <w:contextualSpacing/>
        <w:rPr>
          <w:color w:val="3F5664"/>
          <w:sz w:val="24"/>
          <w:szCs w:val="24"/>
        </w:rPr>
      </w:pPr>
      <w:r w:rsidRPr="0022646E">
        <w:rPr>
          <w:color w:val="3F5664"/>
          <w:sz w:val="24"/>
          <w:szCs w:val="24"/>
        </w:rPr>
        <w:t xml:space="preserve">Consider discontinuing any medication if it is medically appropriate.  </w:t>
      </w:r>
    </w:p>
    <w:p w14:paraId="2814FCCE" w14:textId="77777777" w:rsidR="0022646E" w:rsidRPr="0022646E" w:rsidRDefault="0022646E" w:rsidP="0022646E">
      <w:pPr>
        <w:pStyle w:val="ListParagraph"/>
        <w:widowControl/>
        <w:numPr>
          <w:ilvl w:val="1"/>
          <w:numId w:val="1"/>
        </w:numPr>
        <w:spacing w:line="276" w:lineRule="auto"/>
        <w:ind w:right="-619"/>
        <w:contextualSpacing/>
        <w:rPr>
          <w:color w:val="3F5664"/>
          <w:sz w:val="24"/>
          <w:szCs w:val="24"/>
        </w:rPr>
      </w:pPr>
      <w:r w:rsidRPr="0022646E">
        <w:rPr>
          <w:color w:val="3F5664"/>
          <w:sz w:val="24"/>
        </w:rPr>
        <w:t>Do not stop long-term benzodiazepines or other psychotropic medications.</w:t>
      </w:r>
    </w:p>
    <w:p w14:paraId="48333D8E" w14:textId="77777777" w:rsidR="0022646E" w:rsidRPr="0022646E" w:rsidRDefault="0022646E" w:rsidP="0022646E">
      <w:pPr>
        <w:pStyle w:val="ListParagraph"/>
        <w:widowControl/>
        <w:numPr>
          <w:ilvl w:val="0"/>
          <w:numId w:val="1"/>
        </w:numPr>
        <w:spacing w:line="276" w:lineRule="auto"/>
        <w:ind w:right="-619"/>
        <w:contextualSpacing/>
        <w:rPr>
          <w:color w:val="3F5664"/>
          <w:sz w:val="24"/>
          <w:szCs w:val="24"/>
        </w:rPr>
      </w:pPr>
      <w:r w:rsidRPr="0022646E">
        <w:rPr>
          <w:color w:val="3F5664"/>
          <w:sz w:val="24"/>
          <w:szCs w:val="24"/>
        </w:rPr>
        <w:t>Careful titrating of any prescribed opiates, being mindful of side effects, and minimising these where appropriate e.g., prescribing laxatives.</w:t>
      </w:r>
    </w:p>
    <w:p w14:paraId="70CD5ECE"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11BAE619" w14:textId="77777777" w:rsidR="0022646E" w:rsidRPr="0022646E" w:rsidRDefault="0022646E" w:rsidP="0022646E">
      <w:pPr>
        <w:spacing w:line="276" w:lineRule="auto"/>
        <w:ind w:right="-619"/>
        <w:rPr>
          <w:rFonts w:ascii="Arial" w:hAnsi="Arial" w:cs="Arial"/>
          <w:color w:val="3F5664"/>
        </w:rPr>
      </w:pPr>
      <w:r w:rsidRPr="0022646E">
        <w:rPr>
          <w:rFonts w:ascii="Arial" w:hAnsi="Arial" w:cs="Arial"/>
          <w:color w:val="3F5664"/>
        </w:rPr>
        <w:t>Consider the use of nicotine replacement therapy as needed. Ask about alcohol intake and consider prescribing for withdrawal as per your hospital guidelines.</w:t>
      </w:r>
    </w:p>
    <w:p w14:paraId="4A19F7DE" w14:textId="77777777" w:rsidR="0022646E" w:rsidRPr="0022646E" w:rsidRDefault="0022646E" w:rsidP="0022646E">
      <w:pPr>
        <w:spacing w:line="276" w:lineRule="auto"/>
        <w:ind w:right="-619"/>
        <w:rPr>
          <w:rFonts w:ascii="Arial" w:hAnsi="Arial" w:cs="Arial"/>
          <w:color w:val="3F5664"/>
        </w:rPr>
      </w:pPr>
    </w:p>
    <w:p w14:paraId="6146CE9F" w14:textId="77777777" w:rsidR="0022646E" w:rsidRPr="0022646E" w:rsidRDefault="0022646E" w:rsidP="0022646E">
      <w:pPr>
        <w:spacing w:line="276" w:lineRule="auto"/>
        <w:ind w:right="-619"/>
        <w:rPr>
          <w:rFonts w:ascii="Arial" w:hAnsi="Arial" w:cs="Arial"/>
          <w:color w:val="3E5F73"/>
        </w:rPr>
      </w:pPr>
      <w:r w:rsidRPr="0022646E">
        <w:rPr>
          <w:rFonts w:ascii="Arial" w:hAnsi="Arial" w:cs="Arial"/>
          <w:color w:val="3E5F73"/>
        </w:rPr>
        <w:t>Consider if the person requires ear plugs where increased noise on the ward impacts their sleep.</w:t>
      </w:r>
    </w:p>
    <w:p w14:paraId="747194D5" w14:textId="77777777" w:rsidR="0022646E" w:rsidRPr="0022646E" w:rsidRDefault="0022646E" w:rsidP="0022646E">
      <w:pPr>
        <w:spacing w:line="276" w:lineRule="auto"/>
        <w:ind w:right="-619"/>
        <w:rPr>
          <w:rFonts w:ascii="Arial" w:hAnsi="Arial" w:cs="Arial"/>
          <w:color w:val="3E5F73"/>
        </w:rPr>
      </w:pPr>
    </w:p>
    <w:p w14:paraId="44679EDF"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In those </w:t>
      </w:r>
      <w:r w:rsidRPr="0022646E">
        <w:rPr>
          <w:rFonts w:ascii="Arial" w:hAnsi="Arial" w:cs="Arial"/>
          <w:b/>
          <w:bCs/>
          <w:color w:val="3E5F73"/>
        </w:rPr>
        <w:t>people who are drowsy and sleepy</w:t>
      </w:r>
      <w:r w:rsidRPr="0022646E">
        <w:rPr>
          <w:rFonts w:ascii="Arial" w:hAnsi="Arial" w:cs="Arial"/>
          <w:color w:val="3E5F73"/>
        </w:rPr>
        <w:t xml:space="preserve"> with hypoactive delirium </w:t>
      </w:r>
      <w:r w:rsidRPr="0022646E">
        <w:rPr>
          <w:rFonts w:ascii="Arial" w:hAnsi="Arial" w:cs="Arial"/>
          <w:b/>
          <w:bCs/>
          <w:color w:val="3E5F73"/>
        </w:rPr>
        <w:t>particular attention needs to be paid</w:t>
      </w:r>
      <w:r w:rsidRPr="0022646E">
        <w:rPr>
          <w:rFonts w:ascii="Arial" w:hAnsi="Arial" w:cs="Arial"/>
          <w:color w:val="3E5F73"/>
        </w:rPr>
        <w:t xml:space="preserve"> to pressure area relief, nutrition and hydration and vigilance for hypostatic pneumonia. </w:t>
      </w:r>
    </w:p>
    <w:p w14:paraId="5646B5A4" w14:textId="77777777" w:rsidR="0022646E" w:rsidRPr="0022646E" w:rsidRDefault="0022646E" w:rsidP="0022646E">
      <w:pPr>
        <w:spacing w:line="276" w:lineRule="auto"/>
        <w:ind w:right="-619"/>
        <w:rPr>
          <w:rFonts w:ascii="Arial" w:hAnsi="Arial" w:cs="Arial"/>
          <w:color w:val="3E5F73"/>
        </w:rPr>
      </w:pPr>
    </w:p>
    <w:p w14:paraId="71B32C3E" w14:textId="77777777" w:rsidR="0022646E" w:rsidRPr="0022646E" w:rsidRDefault="0022646E" w:rsidP="0022646E">
      <w:pPr>
        <w:spacing w:line="276" w:lineRule="auto"/>
        <w:ind w:right="-619"/>
        <w:rPr>
          <w:rFonts w:ascii="Arial" w:hAnsi="Arial" w:cs="Arial"/>
          <w:color w:val="3E5F73"/>
        </w:rPr>
      </w:pPr>
      <w:r w:rsidRPr="0022646E">
        <w:rPr>
          <w:rFonts w:ascii="Arial" w:hAnsi="Arial" w:cs="Arial"/>
          <w:color w:val="3E5F73"/>
        </w:rPr>
        <w:t xml:space="preserve">The duration of delirium can vary widely, with delirium lasting a few days in most people. Persistent delirium (that is, lasting for weeks or months) is not rare, with 20% of people exhibiting some symptoms of delirium at 6 months (Wilson et al 2020). When managing persistent delirium, it is vitally important that you continue to return to these management guidelines and address any areas where the person requires support. </w:t>
      </w:r>
    </w:p>
    <w:p w14:paraId="01B5344C" w14:textId="77777777" w:rsidR="0022646E" w:rsidRPr="0022646E" w:rsidRDefault="0022646E" w:rsidP="0022646E">
      <w:pPr>
        <w:spacing w:line="276" w:lineRule="auto"/>
        <w:ind w:right="-619"/>
        <w:rPr>
          <w:rFonts w:ascii="Arial" w:hAnsi="Arial" w:cs="Arial"/>
          <w:color w:val="3E5F73"/>
        </w:rPr>
      </w:pPr>
    </w:p>
    <w:p w14:paraId="1FA3FF22"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Wilson et al (2020) noted that consensus guidelines make several recommendations for delirium prevention in various health-care settings, for multicomponent interventions such as: </w:t>
      </w:r>
    </w:p>
    <w:p w14:paraId="717F85AE"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Early recognition of high-risk factors (age &gt;65 years, dementia, hip surgery and high acuity) </w:t>
      </w:r>
    </w:p>
    <w:p w14:paraId="44385C3F"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Daily screening for delirium </w:t>
      </w:r>
    </w:p>
    <w:p w14:paraId="4137B66D"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Environmental orientation (sensory, auditory, dentures, time, events, family visits and music) </w:t>
      </w:r>
    </w:p>
    <w:p w14:paraId="115E4FC3"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Maintain normal hydration </w:t>
      </w:r>
    </w:p>
    <w:p w14:paraId="6A26AF59"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Regulation of bladder and bowel function </w:t>
      </w:r>
    </w:p>
    <w:p w14:paraId="6921DC6B"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Early establishment of normal diet </w:t>
      </w:r>
    </w:p>
    <w:p w14:paraId="5311F513"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Correction of metabolic disorders </w:t>
      </w:r>
    </w:p>
    <w:p w14:paraId="72F3AB92"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Cardiorespiratory optimization (with provision of oxygen if appropriate) </w:t>
      </w:r>
    </w:p>
    <w:p w14:paraId="0909FFCC"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Early identification of infection </w:t>
      </w:r>
    </w:p>
    <w:p w14:paraId="5FA6DD0B"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Effective treatment of pain </w:t>
      </w:r>
    </w:p>
    <w:p w14:paraId="1F7AE815"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Daily mobilisation </w:t>
      </w:r>
    </w:p>
    <w:p w14:paraId="4926357C"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Avoidance of antipsychotic drugs </w:t>
      </w:r>
    </w:p>
    <w:p w14:paraId="59DEB74D"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Avoidance of benzodiazepines </w:t>
      </w:r>
    </w:p>
    <w:p w14:paraId="502AFC55"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 Reduced nocturnal disturbances to promote sleep </w:t>
      </w:r>
    </w:p>
    <w:p w14:paraId="1C1F3048" w14:textId="77777777" w:rsidR="0022646E" w:rsidRPr="0022646E" w:rsidRDefault="0022646E" w:rsidP="0022646E">
      <w:pPr>
        <w:autoSpaceDE w:val="0"/>
        <w:autoSpaceDN w:val="0"/>
        <w:adjustRightInd w:val="0"/>
        <w:spacing w:line="276" w:lineRule="auto"/>
        <w:ind w:right="-619"/>
        <w:rPr>
          <w:rFonts w:ascii="Arial" w:hAnsi="Arial" w:cs="Arial"/>
          <w:b/>
          <w:color w:val="3E5F73"/>
        </w:rPr>
      </w:pPr>
      <w:r w:rsidRPr="0022646E">
        <w:rPr>
          <w:rFonts w:ascii="Arial" w:hAnsi="Arial" w:cs="Arial"/>
          <w:color w:val="3E5F73"/>
        </w:rPr>
        <w:t xml:space="preserve">• Sleep promotion (eye mask and earplugs) </w:t>
      </w:r>
    </w:p>
    <w:p w14:paraId="738C071B" w14:textId="77777777" w:rsidR="0022646E" w:rsidRPr="0022646E" w:rsidRDefault="0022646E" w:rsidP="0022646E">
      <w:pPr>
        <w:autoSpaceDE w:val="0"/>
        <w:autoSpaceDN w:val="0"/>
        <w:adjustRightInd w:val="0"/>
        <w:spacing w:line="276" w:lineRule="auto"/>
        <w:ind w:right="-619"/>
        <w:rPr>
          <w:rFonts w:ascii="Arial" w:hAnsi="Arial" w:cs="Arial"/>
          <w:color w:val="3E5F73"/>
        </w:rPr>
      </w:pPr>
    </w:p>
    <w:p w14:paraId="5DF9858D" w14:textId="77777777" w:rsidR="0022646E" w:rsidRPr="0022646E" w:rsidRDefault="0022646E" w:rsidP="0022646E">
      <w:pPr>
        <w:autoSpaceDE w:val="0"/>
        <w:autoSpaceDN w:val="0"/>
        <w:adjustRightInd w:val="0"/>
        <w:spacing w:line="276" w:lineRule="auto"/>
        <w:ind w:right="-619"/>
        <w:rPr>
          <w:rFonts w:ascii="Arial" w:hAnsi="Arial" w:cs="Arial"/>
          <w:color w:val="3E5F73"/>
        </w:rPr>
      </w:pPr>
      <w:r w:rsidRPr="0022646E">
        <w:rPr>
          <w:rFonts w:ascii="Arial" w:hAnsi="Arial" w:cs="Arial"/>
          <w:color w:val="3E5F73"/>
        </w:rPr>
        <w:t xml:space="preserve">People experiencing delirium may present with behaviours that we find challenging. Some people will need to feel safe, secure, and reassured when agitated and distressed, in the context of delirium. </w:t>
      </w:r>
    </w:p>
    <w:p w14:paraId="48855E0B" w14:textId="77777777" w:rsidR="0022646E" w:rsidRPr="0022646E" w:rsidRDefault="0022646E" w:rsidP="0022646E">
      <w:pPr>
        <w:pStyle w:val="Heading2"/>
        <w:spacing w:before="0" w:line="276" w:lineRule="auto"/>
        <w:ind w:right="-619"/>
        <w:rPr>
          <w:rFonts w:cs="Arial"/>
        </w:rPr>
      </w:pPr>
      <w:bookmarkStart w:id="1" w:name="_Toc165980771"/>
      <w:bookmarkStart w:id="2" w:name="_Toc165981710"/>
      <w:bookmarkStart w:id="3" w:name="_Toc165981905"/>
    </w:p>
    <w:p w14:paraId="3F75B472" w14:textId="7F8412DD" w:rsidR="0022646E" w:rsidRPr="0022646E" w:rsidRDefault="0022646E" w:rsidP="0022646E">
      <w:pPr>
        <w:pStyle w:val="Heading2"/>
      </w:pPr>
      <w:bookmarkStart w:id="4" w:name="_Toc166742661"/>
      <w:r w:rsidRPr="0022646E">
        <w:t xml:space="preserve">The message behind the behaviour: When people present with </w:t>
      </w:r>
      <w:proofErr w:type="gramStart"/>
      <w:r w:rsidRPr="0022646E">
        <w:t>behaviours</w:t>
      </w:r>
      <w:proofErr w:type="gramEnd"/>
      <w:r w:rsidRPr="0022646E">
        <w:t xml:space="preserve"> we find challenging</w:t>
      </w:r>
      <w:bookmarkEnd w:id="1"/>
      <w:bookmarkEnd w:id="2"/>
      <w:bookmarkEnd w:id="3"/>
      <w:r>
        <w:t>.</w:t>
      </w:r>
      <w:bookmarkEnd w:id="4"/>
    </w:p>
    <w:p w14:paraId="21985B33" w14:textId="77777777" w:rsidR="0022646E" w:rsidRPr="0022646E" w:rsidRDefault="0022646E" w:rsidP="0022646E">
      <w:pPr>
        <w:spacing w:line="276" w:lineRule="auto"/>
        <w:ind w:right="-619"/>
        <w:rPr>
          <w:rFonts w:ascii="Arial" w:hAnsi="Arial" w:cs="Arial"/>
          <w:sz w:val="26"/>
          <w:szCs w:val="18"/>
        </w:rPr>
      </w:pPr>
    </w:p>
    <w:p w14:paraId="6CEF6893" w14:textId="77777777" w:rsidR="0022646E" w:rsidRPr="0022646E" w:rsidRDefault="0022646E" w:rsidP="0022646E">
      <w:pPr>
        <w:spacing w:line="276" w:lineRule="auto"/>
        <w:ind w:right="-619"/>
        <w:rPr>
          <w:rFonts w:ascii="Arial" w:eastAsia="Times New Roman" w:hAnsi="Arial" w:cs="Arial"/>
          <w:color w:val="3E5F73"/>
          <w:lang w:eastAsia="en-GB"/>
        </w:rPr>
      </w:pPr>
      <w:r w:rsidRPr="0022646E">
        <w:rPr>
          <w:rFonts w:ascii="Arial" w:eastAsia="Times New Roman" w:hAnsi="Arial" w:cs="Arial"/>
          <w:color w:val="3E5F73"/>
          <w:lang w:eastAsia="en-GB"/>
        </w:rPr>
        <w:t>Because of the way delirium affects the brain, the person may have lost some of the inhibitions that would have prevented them from showing their feelings in this way previously. But the feelings being expressed now are important because they represent the person’s way of saying something significant. And we need to understand the message. This could be, for example, ‘I feel like a prisoner’, ‘I’m frightened – I don’t understand what’s going on’, ‘I’m in pain’, or ‘I’m so frustrated’.</w:t>
      </w:r>
    </w:p>
    <w:p w14:paraId="378BC052" w14:textId="77777777" w:rsidR="0022646E" w:rsidRPr="0022646E" w:rsidRDefault="0022646E" w:rsidP="0022646E">
      <w:pPr>
        <w:autoSpaceDE w:val="0"/>
        <w:autoSpaceDN w:val="0"/>
        <w:adjustRightInd w:val="0"/>
        <w:spacing w:line="276" w:lineRule="auto"/>
        <w:ind w:right="-619"/>
        <w:rPr>
          <w:rFonts w:ascii="Arial" w:hAnsi="Arial" w:cs="Arial"/>
          <w:b/>
          <w:bCs/>
          <w:color w:val="3E5F73"/>
        </w:rPr>
      </w:pPr>
    </w:p>
    <w:p w14:paraId="075DD971"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E5F73"/>
        </w:rPr>
        <w:t xml:space="preserve">Detect, assess, and treat </w:t>
      </w:r>
      <w:r w:rsidRPr="0022646E">
        <w:rPr>
          <w:rFonts w:ascii="Arial" w:hAnsi="Arial" w:cs="Arial"/>
          <w:b/>
          <w:bCs/>
          <w:color w:val="3E5F73"/>
        </w:rPr>
        <w:t>causes of agitation and/or distress</w:t>
      </w:r>
      <w:r w:rsidRPr="0022646E">
        <w:rPr>
          <w:rFonts w:ascii="Arial" w:hAnsi="Arial" w:cs="Arial"/>
          <w:color w:val="3E5F73"/>
        </w:rPr>
        <w:t xml:space="preserve"> by treating the underlying cause and using non-pharmacological means wherever possible. Please refer to </w:t>
      </w:r>
      <w:r w:rsidRPr="0022646E">
        <w:rPr>
          <w:rFonts w:ascii="Arial" w:hAnsi="Arial" w:cs="Arial"/>
          <w:b/>
          <w:bCs/>
          <w:color w:val="3E5F73"/>
        </w:rPr>
        <w:t xml:space="preserve">Greater Manchester hospital delirium management and engagement guidance –for non-medical </w:t>
      </w:r>
      <w:r w:rsidRPr="0022646E">
        <w:rPr>
          <w:rFonts w:ascii="Arial" w:hAnsi="Arial" w:cs="Arial"/>
          <w:color w:val="3E5F73"/>
        </w:rPr>
        <w:t>teams (Key</w:t>
      </w:r>
      <w:r w:rsidRPr="0022646E">
        <w:rPr>
          <w:rFonts w:ascii="Arial" w:hAnsi="Arial" w:cs="Arial"/>
          <w:b/>
          <w:bCs/>
          <w:color w:val="3E5F73"/>
        </w:rPr>
        <w:t xml:space="preserve"> Document </w:t>
      </w:r>
      <w:proofErr w:type="spellStart"/>
      <w:r w:rsidRPr="0022646E">
        <w:rPr>
          <w:rFonts w:ascii="Arial" w:hAnsi="Arial" w:cs="Arial"/>
          <w:b/>
          <w:bCs/>
          <w:color w:val="3E5F73"/>
        </w:rPr>
        <w:t>4b</w:t>
      </w:r>
      <w:proofErr w:type="spellEnd"/>
      <w:r w:rsidRPr="0022646E">
        <w:rPr>
          <w:rFonts w:ascii="Arial" w:hAnsi="Arial" w:cs="Arial"/>
          <w:b/>
          <w:bCs/>
          <w:color w:val="3E5F73"/>
        </w:rPr>
        <w:t xml:space="preserve"> of the </w:t>
      </w:r>
      <w:hyperlink r:id="rId20" w:history="1">
        <w:r w:rsidRPr="0022646E">
          <w:rPr>
            <w:rStyle w:val="Hyperlink"/>
            <w:rFonts w:cs="Arial"/>
          </w:rPr>
          <w:t>hospital delirium toolkit</w:t>
        </w:r>
      </w:hyperlink>
      <w:r w:rsidRPr="0022646E">
        <w:rPr>
          <w:rStyle w:val="Hyperlink"/>
          <w:rFonts w:cs="Arial"/>
        </w:rPr>
        <w:t>)</w:t>
      </w:r>
      <w:r w:rsidRPr="0022646E">
        <w:rPr>
          <w:rStyle w:val="EndnoteReference"/>
          <w:rFonts w:ascii="Arial" w:hAnsi="Arial" w:cs="Arial"/>
          <w:b/>
          <w:bCs/>
          <w:color w:val="425563"/>
        </w:rPr>
        <w:endnoteReference w:id="7"/>
      </w:r>
      <w:r w:rsidRPr="0022646E">
        <w:rPr>
          <w:rFonts w:ascii="Arial" w:hAnsi="Arial" w:cs="Arial"/>
          <w:b/>
          <w:bCs/>
          <w:color w:val="425563"/>
        </w:rPr>
        <w:t xml:space="preserve"> </w:t>
      </w:r>
      <w:r w:rsidRPr="0022646E">
        <w:rPr>
          <w:rFonts w:ascii="Arial" w:hAnsi="Arial" w:cs="Arial"/>
          <w:color w:val="3F5664"/>
        </w:rPr>
        <w:t>which provides more detailed information on non-pharmacological approaches, multidimensional person-centred care interventions which evidence suggests will make a difference.</w:t>
      </w:r>
    </w:p>
    <w:p w14:paraId="366B7AC0"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5450E227" w14:textId="77777777" w:rsidR="0022646E" w:rsidRPr="0022646E" w:rsidRDefault="0022646E" w:rsidP="0022646E">
      <w:pPr>
        <w:autoSpaceDE w:val="0"/>
        <w:autoSpaceDN w:val="0"/>
        <w:adjustRightInd w:val="0"/>
        <w:spacing w:line="276" w:lineRule="auto"/>
        <w:ind w:right="-619"/>
        <w:rPr>
          <w:rFonts w:ascii="Arial" w:hAnsi="Arial" w:cs="Arial"/>
          <w:b/>
          <w:bCs/>
          <w:color w:val="3F5664"/>
        </w:rPr>
      </w:pPr>
      <w:r w:rsidRPr="0022646E">
        <w:rPr>
          <w:rFonts w:ascii="Arial" w:hAnsi="Arial" w:cs="Arial"/>
          <w:color w:val="3F5664"/>
        </w:rPr>
        <w:t xml:space="preserve">Where non-pharmacological means alone are not reducing the patient’s distress, please refer to your local Trust guidance on the use of medication. Some </w:t>
      </w:r>
      <w:r w:rsidRPr="0022646E">
        <w:rPr>
          <w:rFonts w:ascii="Arial" w:hAnsi="Arial" w:cs="Arial"/>
          <w:b/>
          <w:bCs/>
          <w:color w:val="3F5664"/>
        </w:rPr>
        <w:t>general principles to consider in terms of the use of medication for agitation and distress.</w:t>
      </w:r>
    </w:p>
    <w:p w14:paraId="3E00DA2B"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41BE81F5" w14:textId="77777777" w:rsidR="0022646E" w:rsidRPr="0022646E" w:rsidRDefault="0022646E" w:rsidP="0022646E">
      <w:pPr>
        <w:pStyle w:val="ListParagraph"/>
        <w:widowControl/>
        <w:numPr>
          <w:ilvl w:val="0"/>
          <w:numId w:val="2"/>
        </w:numPr>
        <w:autoSpaceDE w:val="0"/>
        <w:autoSpaceDN w:val="0"/>
        <w:adjustRightInd w:val="0"/>
        <w:spacing w:line="276" w:lineRule="auto"/>
        <w:ind w:right="-619"/>
        <w:contextualSpacing/>
        <w:rPr>
          <w:color w:val="3E5F73"/>
          <w:sz w:val="24"/>
          <w:szCs w:val="24"/>
        </w:rPr>
      </w:pPr>
      <w:r w:rsidRPr="0022646E">
        <w:rPr>
          <w:color w:val="3E5F73"/>
          <w:sz w:val="24"/>
          <w:szCs w:val="24"/>
        </w:rPr>
        <w:t xml:space="preserve">There is no evidence supporting the use of medication to sedate when delirium is present. If medication is needed, it is so important to be weighing up each patient’s specific risks of using medication (effects, side-effects) versus not using medication. </w:t>
      </w:r>
    </w:p>
    <w:p w14:paraId="54204926" w14:textId="77777777" w:rsidR="0022646E" w:rsidRDefault="0022646E" w:rsidP="0022646E">
      <w:pPr>
        <w:pStyle w:val="ListParagraph"/>
        <w:widowControl/>
        <w:numPr>
          <w:ilvl w:val="0"/>
          <w:numId w:val="5"/>
        </w:numPr>
        <w:autoSpaceDE w:val="0"/>
        <w:autoSpaceDN w:val="0"/>
        <w:adjustRightInd w:val="0"/>
        <w:spacing w:line="276" w:lineRule="auto"/>
        <w:ind w:left="851" w:right="-619"/>
        <w:contextualSpacing/>
        <w:rPr>
          <w:color w:val="3E5F73"/>
          <w:sz w:val="24"/>
        </w:rPr>
      </w:pPr>
      <w:r w:rsidRPr="0022646E">
        <w:rPr>
          <w:color w:val="3E5F73"/>
          <w:sz w:val="24"/>
        </w:rPr>
        <w:t>This weighing up, needs to include the patient/family including abiding the Mental Capacity Act principles in relation to mental capacity assessment and best interest decision making.</w:t>
      </w:r>
    </w:p>
    <w:p w14:paraId="270EAB13" w14:textId="130D671A" w:rsidR="0022646E" w:rsidRPr="0022646E" w:rsidRDefault="0022646E" w:rsidP="00B71D51">
      <w:pPr>
        <w:pStyle w:val="ListParagraph"/>
        <w:widowControl/>
        <w:numPr>
          <w:ilvl w:val="0"/>
          <w:numId w:val="5"/>
        </w:numPr>
        <w:shd w:val="clear" w:color="auto" w:fill="FFFFFF"/>
        <w:autoSpaceDE w:val="0"/>
        <w:autoSpaceDN w:val="0"/>
        <w:adjustRightInd w:val="0"/>
        <w:spacing w:line="276" w:lineRule="auto"/>
        <w:ind w:right="-619"/>
        <w:contextualSpacing/>
        <w:rPr>
          <w:color w:val="3E5F73"/>
          <w:sz w:val="24"/>
          <w:szCs w:val="24"/>
        </w:rPr>
      </w:pPr>
      <w:r w:rsidRPr="0022646E">
        <w:rPr>
          <w:color w:val="3E5F73"/>
          <w:sz w:val="24"/>
          <w:szCs w:val="24"/>
        </w:rPr>
        <w:t xml:space="preserve">A formal mental capacity assessment may be needed in relation to care and treatment decisions. </w:t>
      </w:r>
      <w:hyperlink r:id="rId21" w:history="1">
        <w:r w:rsidRPr="0022646E">
          <w:rPr>
            <w:rStyle w:val="Hyperlink"/>
            <w:szCs w:val="24"/>
          </w:rPr>
          <w:t>MCA: Assessing capacity | SCIE</w:t>
        </w:r>
      </w:hyperlink>
      <w:r w:rsidRPr="0022646E">
        <w:rPr>
          <w:rStyle w:val="Hyperlink"/>
          <w:color w:val="3E5F73"/>
          <w:szCs w:val="24"/>
        </w:rPr>
        <w:t xml:space="preserve"> </w:t>
      </w:r>
      <w:r w:rsidRPr="0022646E">
        <w:rPr>
          <w:rStyle w:val="EndnoteReference"/>
          <w:color w:val="3E5F73"/>
          <w:sz w:val="24"/>
          <w:szCs w:val="24"/>
        </w:rPr>
        <w:endnoteReference w:id="8"/>
      </w:r>
      <w:r w:rsidRPr="0022646E">
        <w:rPr>
          <w:rStyle w:val="Hyperlink"/>
          <w:color w:val="3E5F73"/>
          <w:szCs w:val="24"/>
          <w:u w:val="none"/>
        </w:rPr>
        <w:t xml:space="preserve">. </w:t>
      </w:r>
      <w:r w:rsidRPr="0022646E">
        <w:rPr>
          <w:color w:val="3E5F73"/>
          <w:sz w:val="24"/>
          <w:szCs w:val="24"/>
        </w:rPr>
        <w:t>The Mental Capacity Act (MCA) applies to everybody involved in the care, treatment, and support of people aged 16 and over who are unable to make all or some decisions for themselves. The MCA is designed to protect and restore power to those vulnerable people who lack capacity. Anyone caring for or supporting a person who lacks capacity could be involved in assessing capacity.</w:t>
      </w:r>
    </w:p>
    <w:p w14:paraId="78C5B02C" w14:textId="77777777" w:rsidR="0022646E" w:rsidRPr="0022646E" w:rsidRDefault="0022646E" w:rsidP="0022646E">
      <w:pPr>
        <w:pStyle w:val="ListParagraph"/>
        <w:widowControl/>
        <w:numPr>
          <w:ilvl w:val="0"/>
          <w:numId w:val="5"/>
        </w:numPr>
        <w:autoSpaceDE w:val="0"/>
        <w:autoSpaceDN w:val="0"/>
        <w:adjustRightInd w:val="0"/>
        <w:spacing w:line="276" w:lineRule="auto"/>
        <w:ind w:left="851" w:right="-619"/>
        <w:contextualSpacing/>
        <w:rPr>
          <w:color w:val="3F5664"/>
          <w:sz w:val="24"/>
        </w:rPr>
      </w:pPr>
      <w:r w:rsidRPr="0022646E">
        <w:rPr>
          <w:color w:val="3E5F73"/>
          <w:sz w:val="24"/>
          <w:szCs w:val="24"/>
        </w:rPr>
        <w:t>Guidance on the MCA and principles to be applying to person centre care</w:t>
      </w:r>
      <w:r w:rsidRPr="0022646E">
        <w:rPr>
          <w:color w:val="3E5F73"/>
          <w:sz w:val="24"/>
        </w:rPr>
        <w:t xml:space="preserve"> decisions can be found on the </w:t>
      </w:r>
      <w:hyperlink r:id="rId22" w:history="1">
        <w:r w:rsidRPr="0022646E">
          <w:rPr>
            <w:rStyle w:val="Hyperlink"/>
          </w:rPr>
          <w:t>Dementia United website</w:t>
        </w:r>
      </w:hyperlink>
      <w:r w:rsidRPr="0022646E">
        <w:rPr>
          <w:color w:val="3F5664"/>
          <w:sz w:val="24"/>
        </w:rPr>
        <w:t xml:space="preserve"> </w:t>
      </w:r>
      <w:r w:rsidRPr="0022646E">
        <w:rPr>
          <w:rStyle w:val="EndnoteReference"/>
          <w:color w:val="3F5664"/>
          <w:sz w:val="24"/>
        </w:rPr>
        <w:endnoteReference w:id="9"/>
      </w:r>
      <w:r w:rsidRPr="0022646E">
        <w:rPr>
          <w:color w:val="3F5664"/>
          <w:sz w:val="24"/>
        </w:rPr>
        <w:t xml:space="preserve"> with links to films and key documents to guide clinicians.</w:t>
      </w:r>
    </w:p>
    <w:p w14:paraId="530471A2" w14:textId="77777777" w:rsidR="0022646E" w:rsidRPr="0022646E" w:rsidRDefault="0022646E" w:rsidP="0022646E">
      <w:pPr>
        <w:pStyle w:val="ListParagraph"/>
        <w:widowControl/>
        <w:numPr>
          <w:ilvl w:val="0"/>
          <w:numId w:val="5"/>
        </w:numPr>
        <w:autoSpaceDE w:val="0"/>
        <w:autoSpaceDN w:val="0"/>
        <w:adjustRightInd w:val="0"/>
        <w:spacing w:line="276" w:lineRule="auto"/>
        <w:ind w:left="851" w:right="-619"/>
        <w:contextualSpacing/>
        <w:rPr>
          <w:color w:val="44546A" w:themeColor="text2"/>
          <w:sz w:val="24"/>
        </w:rPr>
      </w:pPr>
      <w:r w:rsidRPr="0022646E">
        <w:rPr>
          <w:color w:val="44546A" w:themeColor="text2"/>
          <w:sz w:val="24"/>
        </w:rPr>
        <w:lastRenderedPageBreak/>
        <w:t>Booklets for staff, the person who is being assessed and their family members on the MCA can be accessed via the links below too.</w:t>
      </w:r>
    </w:p>
    <w:p w14:paraId="6C88322F" w14:textId="77777777" w:rsidR="0022646E" w:rsidRPr="0022646E" w:rsidRDefault="005A5EE8" w:rsidP="0022646E">
      <w:pPr>
        <w:pStyle w:val="NormalWeb"/>
        <w:numPr>
          <w:ilvl w:val="0"/>
          <w:numId w:val="5"/>
        </w:numPr>
        <w:shd w:val="clear" w:color="auto" w:fill="FFFFFF"/>
        <w:spacing w:before="0" w:beforeAutospacing="0" w:after="0" w:afterAutospacing="0" w:line="276" w:lineRule="auto"/>
        <w:ind w:right="-619"/>
        <w:contextualSpacing/>
        <w:rPr>
          <w:rFonts w:ascii="Arial" w:hAnsi="Arial" w:cs="Arial"/>
          <w:color w:val="44546A" w:themeColor="text2"/>
        </w:rPr>
      </w:pPr>
      <w:hyperlink r:id="rId23" w:history="1">
        <w:r w:rsidR="0022646E" w:rsidRPr="0022646E">
          <w:rPr>
            <w:rStyle w:val="Hyperlink"/>
            <w:rFonts w:cs="Arial"/>
          </w:rPr>
          <w:t>This booklet is for health and social care staff and covers what is mental capacity, how to assess capacity, best interests, providing care and treatment</w:t>
        </w:r>
      </w:hyperlink>
      <w:r w:rsidR="0022646E" w:rsidRPr="0022646E">
        <w:rPr>
          <w:rFonts w:ascii="Arial" w:hAnsi="Arial" w:cs="Arial"/>
          <w:color w:val="44546A" w:themeColor="text2"/>
        </w:rPr>
        <w:t xml:space="preserve"> </w:t>
      </w:r>
      <w:r w:rsidR="0022646E" w:rsidRPr="0022646E">
        <w:rPr>
          <w:rStyle w:val="EndnoteReference"/>
          <w:rFonts w:ascii="Arial" w:hAnsi="Arial" w:cs="Arial"/>
          <w:color w:val="44546A" w:themeColor="text2"/>
        </w:rPr>
        <w:endnoteReference w:id="10"/>
      </w:r>
    </w:p>
    <w:p w14:paraId="3FFA2937" w14:textId="77777777" w:rsidR="0022646E" w:rsidRPr="0022646E" w:rsidRDefault="0022646E" w:rsidP="0022646E">
      <w:pPr>
        <w:pStyle w:val="NormalWeb"/>
        <w:numPr>
          <w:ilvl w:val="0"/>
          <w:numId w:val="5"/>
        </w:numPr>
        <w:shd w:val="clear" w:color="auto" w:fill="FFFFFF"/>
        <w:spacing w:before="0" w:beforeAutospacing="0" w:after="0" w:afterAutospacing="0" w:line="276" w:lineRule="auto"/>
        <w:ind w:right="-619"/>
        <w:contextualSpacing/>
        <w:rPr>
          <w:rStyle w:val="Hyperlink"/>
          <w:rFonts w:cs="Arial"/>
          <w:color w:val="44546A" w:themeColor="text2"/>
        </w:rPr>
      </w:pPr>
      <w:r w:rsidRPr="0022646E">
        <w:rPr>
          <w:rFonts w:ascii="Arial" w:hAnsi="Arial" w:cs="Arial"/>
          <w:color w:val="44546A" w:themeColor="text2"/>
        </w:rPr>
        <w:t xml:space="preserve">This booklet is in relation to – </w:t>
      </w:r>
      <w:hyperlink r:id="rId24" w:history="1">
        <w:r w:rsidRPr="0022646E">
          <w:rPr>
            <w:rStyle w:val="Hyperlink"/>
            <w:rFonts w:cs="Arial"/>
          </w:rPr>
          <w:t>Making decisions about your health, welfare or finance. Who decides when you can’t? </w:t>
        </w:r>
      </w:hyperlink>
      <w:r w:rsidRPr="0022646E">
        <w:rPr>
          <w:rStyle w:val="EndnoteReference"/>
          <w:rFonts w:ascii="Arial" w:hAnsi="Arial" w:cs="Arial"/>
          <w:color w:val="44546A" w:themeColor="text2"/>
        </w:rPr>
        <w:endnoteReference w:id="11"/>
      </w:r>
    </w:p>
    <w:p w14:paraId="7B0BEB6F" w14:textId="77777777" w:rsidR="0022646E" w:rsidRPr="0022646E" w:rsidRDefault="0022646E" w:rsidP="0022646E">
      <w:pPr>
        <w:pStyle w:val="NormalWeb"/>
        <w:numPr>
          <w:ilvl w:val="0"/>
          <w:numId w:val="5"/>
        </w:numPr>
        <w:shd w:val="clear" w:color="auto" w:fill="FFFFFF"/>
        <w:spacing w:before="0" w:beforeAutospacing="0" w:after="0" w:afterAutospacing="0" w:line="276" w:lineRule="auto"/>
        <w:ind w:right="-619"/>
        <w:contextualSpacing/>
        <w:rPr>
          <w:rFonts w:ascii="Arial" w:hAnsi="Arial" w:cs="Arial"/>
          <w:color w:val="44546A" w:themeColor="text2"/>
        </w:rPr>
      </w:pPr>
      <w:r w:rsidRPr="0022646E">
        <w:rPr>
          <w:rFonts w:ascii="Arial" w:hAnsi="Arial" w:cs="Arial"/>
          <w:color w:val="44546A" w:themeColor="text2"/>
        </w:rPr>
        <w:t>This booklet is in relation to  </w:t>
      </w:r>
      <w:hyperlink r:id="rId25" w:history="1">
        <w:r w:rsidRPr="0022646E">
          <w:rPr>
            <w:rStyle w:val="Hyperlink"/>
            <w:rFonts w:cs="Arial"/>
          </w:rPr>
          <w:t>Making decisions A Guide for family, friends and other unpaid carers</w:t>
        </w:r>
      </w:hyperlink>
      <w:r w:rsidRPr="0022646E">
        <w:rPr>
          <w:rStyle w:val="Hyperlink"/>
          <w:rFonts w:cs="Arial"/>
          <w:color w:val="44546A" w:themeColor="text2"/>
        </w:rPr>
        <w:t xml:space="preserve"> </w:t>
      </w:r>
      <w:r w:rsidRPr="0022646E">
        <w:rPr>
          <w:rStyle w:val="EndnoteReference"/>
          <w:rFonts w:ascii="Arial" w:hAnsi="Arial" w:cs="Arial"/>
          <w:color w:val="44546A" w:themeColor="text2"/>
        </w:rPr>
        <w:endnoteReference w:id="12"/>
      </w:r>
    </w:p>
    <w:p w14:paraId="1353F3F8"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16C32147" w14:textId="77777777" w:rsidR="0022646E" w:rsidRPr="0022646E" w:rsidRDefault="0022646E" w:rsidP="0022646E">
      <w:pPr>
        <w:pStyle w:val="ListParagraph"/>
        <w:widowControl/>
        <w:numPr>
          <w:ilvl w:val="0"/>
          <w:numId w:val="2"/>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What to </w:t>
      </w:r>
      <w:r w:rsidRPr="0022646E">
        <w:rPr>
          <w:b/>
          <w:bCs/>
          <w:color w:val="3F5664"/>
          <w:sz w:val="24"/>
          <w:szCs w:val="24"/>
        </w:rPr>
        <w:t>consider when weighing up;</w:t>
      </w:r>
      <w:r w:rsidRPr="0022646E">
        <w:rPr>
          <w:color w:val="3F5664"/>
          <w:sz w:val="24"/>
          <w:szCs w:val="24"/>
        </w:rPr>
        <w:t xml:space="preserve"> the risks of the person remaining very distressed and the need to introduce medication that may result in increased risks of sedation, resulting in reduced eating and drinking and increased falls.</w:t>
      </w:r>
    </w:p>
    <w:p w14:paraId="56E04C66" w14:textId="77777777" w:rsidR="0022646E" w:rsidRPr="0022646E" w:rsidRDefault="0022646E" w:rsidP="0022646E">
      <w:pPr>
        <w:pStyle w:val="ListParagraph"/>
        <w:autoSpaceDE w:val="0"/>
        <w:autoSpaceDN w:val="0"/>
        <w:adjustRightInd w:val="0"/>
        <w:spacing w:line="276" w:lineRule="auto"/>
        <w:ind w:left="360" w:right="-619"/>
        <w:rPr>
          <w:color w:val="3F5664"/>
          <w:sz w:val="24"/>
          <w:szCs w:val="24"/>
        </w:rPr>
      </w:pPr>
    </w:p>
    <w:p w14:paraId="75DFDA51" w14:textId="77777777" w:rsidR="0022646E" w:rsidRPr="0022646E" w:rsidRDefault="0022646E" w:rsidP="0022646E">
      <w:pPr>
        <w:pStyle w:val="ListParagraph"/>
        <w:widowControl/>
        <w:numPr>
          <w:ilvl w:val="0"/>
          <w:numId w:val="2"/>
        </w:numPr>
        <w:autoSpaceDE w:val="0"/>
        <w:autoSpaceDN w:val="0"/>
        <w:adjustRightInd w:val="0"/>
        <w:spacing w:line="276" w:lineRule="auto"/>
        <w:ind w:right="-619"/>
        <w:contextualSpacing/>
        <w:rPr>
          <w:color w:val="3F5664"/>
          <w:sz w:val="24"/>
          <w:szCs w:val="24"/>
        </w:rPr>
      </w:pPr>
      <w:r w:rsidRPr="0022646E">
        <w:rPr>
          <w:color w:val="3F5664"/>
          <w:sz w:val="24"/>
          <w:szCs w:val="24"/>
        </w:rPr>
        <w:t>Broad principles should be that non-pharmacological treatment should be tried before consulting local guidance for medication.</w:t>
      </w:r>
    </w:p>
    <w:p w14:paraId="27C73988" w14:textId="77777777" w:rsidR="0022646E" w:rsidRPr="0022646E" w:rsidRDefault="0022646E" w:rsidP="0022646E">
      <w:pPr>
        <w:pStyle w:val="ListParagraph"/>
        <w:autoSpaceDE w:val="0"/>
        <w:autoSpaceDN w:val="0"/>
        <w:adjustRightInd w:val="0"/>
        <w:spacing w:line="276" w:lineRule="auto"/>
        <w:ind w:left="360" w:right="-619"/>
        <w:rPr>
          <w:color w:val="44546A" w:themeColor="text2"/>
          <w:sz w:val="24"/>
          <w:szCs w:val="24"/>
        </w:rPr>
      </w:pPr>
    </w:p>
    <w:p w14:paraId="20F6E3A9" w14:textId="77777777" w:rsidR="0022646E" w:rsidRPr="0022646E" w:rsidRDefault="0022646E" w:rsidP="0022646E">
      <w:pPr>
        <w:pStyle w:val="ListParagraph"/>
        <w:widowControl/>
        <w:numPr>
          <w:ilvl w:val="0"/>
          <w:numId w:val="2"/>
        </w:numPr>
        <w:spacing w:line="276" w:lineRule="auto"/>
        <w:ind w:right="-619"/>
        <w:contextualSpacing/>
        <w:rPr>
          <w:color w:val="3E5F73"/>
          <w:sz w:val="24"/>
          <w:szCs w:val="20"/>
        </w:rPr>
      </w:pPr>
      <w:r w:rsidRPr="0022646E">
        <w:rPr>
          <w:color w:val="3E5F73"/>
          <w:sz w:val="24"/>
          <w:szCs w:val="20"/>
        </w:rPr>
        <w:t>A person with delirium will do their best to let others know how they are faring and what they need through their behaviour, if other communication channels begin to fail. Using antipsychotic drugs as an early response to behaviour that challenges others often creates additional problems for the person and effectively silences their message.</w:t>
      </w:r>
    </w:p>
    <w:p w14:paraId="3A888849" w14:textId="77777777" w:rsidR="0022646E" w:rsidRPr="0022646E" w:rsidRDefault="0022646E" w:rsidP="0022646E">
      <w:pPr>
        <w:pStyle w:val="ListParagraph"/>
        <w:spacing w:line="276" w:lineRule="auto"/>
        <w:ind w:left="360" w:right="-619"/>
        <w:rPr>
          <w:color w:val="3E5F73"/>
          <w:sz w:val="24"/>
          <w:szCs w:val="20"/>
        </w:rPr>
      </w:pPr>
    </w:p>
    <w:p w14:paraId="22E133B6" w14:textId="77777777" w:rsidR="0022646E" w:rsidRPr="0022646E" w:rsidRDefault="0022646E" w:rsidP="0022646E">
      <w:pPr>
        <w:pStyle w:val="ListParagraph"/>
        <w:widowControl/>
        <w:numPr>
          <w:ilvl w:val="0"/>
          <w:numId w:val="2"/>
        </w:numPr>
        <w:spacing w:line="276" w:lineRule="auto"/>
        <w:ind w:right="-619"/>
        <w:contextualSpacing/>
        <w:rPr>
          <w:color w:val="3E5F73"/>
          <w:sz w:val="24"/>
        </w:rPr>
      </w:pPr>
      <w:r w:rsidRPr="0022646E">
        <w:rPr>
          <w:color w:val="3E5F73"/>
          <w:sz w:val="24"/>
        </w:rPr>
        <w:t>“Antipsychotics are often accompanied by unpleasant and dangerous side effects, and studies have estimated that there are at least 1,800 extra deaths each year among people with dementia as a result of taking antipsychotics” (Department of Health, 2009)</w:t>
      </w:r>
    </w:p>
    <w:p w14:paraId="348982C4" w14:textId="77777777" w:rsidR="0022646E" w:rsidRPr="0022646E" w:rsidRDefault="0022646E" w:rsidP="0022646E">
      <w:pPr>
        <w:pStyle w:val="ListParagraph"/>
        <w:spacing w:line="276" w:lineRule="auto"/>
        <w:ind w:left="360" w:right="-619"/>
        <w:rPr>
          <w:color w:val="3E5F73"/>
          <w:sz w:val="24"/>
        </w:rPr>
      </w:pPr>
    </w:p>
    <w:p w14:paraId="1A6A7525" w14:textId="77777777" w:rsidR="0022646E" w:rsidRPr="0022646E" w:rsidRDefault="0022646E" w:rsidP="0022646E">
      <w:pPr>
        <w:pStyle w:val="ListParagraph"/>
        <w:widowControl/>
        <w:numPr>
          <w:ilvl w:val="0"/>
          <w:numId w:val="2"/>
        </w:numPr>
        <w:spacing w:line="276" w:lineRule="auto"/>
        <w:ind w:right="-619"/>
        <w:contextualSpacing/>
        <w:rPr>
          <w:color w:val="3E5F73"/>
          <w:sz w:val="24"/>
        </w:rPr>
      </w:pPr>
      <w:r w:rsidRPr="0022646E">
        <w:rPr>
          <w:color w:val="3E5F73"/>
          <w:sz w:val="24"/>
        </w:rPr>
        <w:t xml:space="preserve">Agar (2020) “Before the institution of any pharmacological strategy, it is important for a careful assessment of the causes and degree of distress, the patient’s and/or family’s interpretation of the symptoms and signs and have </w:t>
      </w:r>
      <w:proofErr w:type="gramStart"/>
      <w:r w:rsidRPr="0022646E">
        <w:rPr>
          <w:color w:val="3E5F73"/>
          <w:sz w:val="24"/>
        </w:rPr>
        <w:t>made an assessment of</w:t>
      </w:r>
      <w:proofErr w:type="gramEnd"/>
      <w:r w:rsidRPr="0022646E">
        <w:rPr>
          <w:color w:val="3E5F73"/>
          <w:sz w:val="24"/>
        </w:rPr>
        <w:t xml:space="preserve"> whether the agitation is more distressing than the possible distress caused by the potential sedation and loss of meaningful communication, which could occur from a pharmacological approach. This should be considered both at the time of prescribing, but also re-assessed when administering as needed medications. “</w:t>
      </w:r>
    </w:p>
    <w:p w14:paraId="011CBB0D" w14:textId="77777777" w:rsidR="0022646E" w:rsidRPr="0022646E" w:rsidRDefault="0022646E" w:rsidP="0022646E">
      <w:pPr>
        <w:pStyle w:val="ListParagraph"/>
        <w:spacing w:line="276" w:lineRule="auto"/>
        <w:ind w:left="360" w:right="-619"/>
        <w:rPr>
          <w:color w:val="3E5F73"/>
          <w:sz w:val="24"/>
        </w:rPr>
      </w:pPr>
    </w:p>
    <w:p w14:paraId="46409473" w14:textId="77777777" w:rsidR="0022646E" w:rsidRPr="0022646E" w:rsidRDefault="0022646E" w:rsidP="0022646E">
      <w:pPr>
        <w:pStyle w:val="ListParagraph"/>
        <w:widowControl/>
        <w:numPr>
          <w:ilvl w:val="0"/>
          <w:numId w:val="2"/>
        </w:numPr>
        <w:spacing w:line="276" w:lineRule="auto"/>
        <w:ind w:right="-619"/>
        <w:contextualSpacing/>
        <w:rPr>
          <w:color w:val="3E5F73"/>
          <w:sz w:val="24"/>
          <w:szCs w:val="24"/>
        </w:rPr>
      </w:pPr>
      <w:r w:rsidRPr="0022646E">
        <w:rPr>
          <w:rFonts w:eastAsiaTheme="minorEastAsia"/>
          <w:color w:val="3E5F73"/>
          <w:sz w:val="24"/>
        </w:rPr>
        <w:t>It is also worth noting that, Wilson et al (2020) found in their systematic review, that data</w:t>
      </w:r>
      <w:r w:rsidRPr="0022646E">
        <w:rPr>
          <w:color w:val="3E5F73"/>
          <w:sz w:val="24"/>
          <w:szCs w:val="24"/>
        </w:rPr>
        <w:t xml:space="preserve"> were generally of poor quality</w:t>
      </w:r>
      <w:r w:rsidRPr="0022646E">
        <w:rPr>
          <w:color w:val="3E5F73"/>
          <w:sz w:val="24"/>
        </w:rPr>
        <w:t xml:space="preserve"> with regards to the treatment of delirium with anti-psychotics. A</w:t>
      </w:r>
      <w:r w:rsidRPr="0022646E">
        <w:rPr>
          <w:color w:val="3E5F73"/>
          <w:sz w:val="24"/>
          <w:szCs w:val="24"/>
        </w:rPr>
        <w:t xml:space="preserve">ntipsychotic agents </w:t>
      </w:r>
      <w:r w:rsidRPr="0022646E">
        <w:rPr>
          <w:color w:val="3E5F73"/>
          <w:sz w:val="24"/>
        </w:rPr>
        <w:t>had</w:t>
      </w:r>
      <w:r w:rsidRPr="0022646E">
        <w:rPr>
          <w:color w:val="3E5F73"/>
          <w:sz w:val="24"/>
          <w:szCs w:val="24"/>
        </w:rPr>
        <w:t xml:space="preserve"> no effect on delirium severity, symptom resolution and reporting of adverse effects was absent or poor</w:t>
      </w:r>
      <w:r w:rsidRPr="0022646E">
        <w:rPr>
          <w:color w:val="3E5F73"/>
          <w:sz w:val="24"/>
        </w:rPr>
        <w:t>.</w:t>
      </w:r>
    </w:p>
    <w:p w14:paraId="368BD87F" w14:textId="77777777" w:rsidR="0022646E" w:rsidRPr="0022646E" w:rsidRDefault="0022646E" w:rsidP="0022646E">
      <w:pPr>
        <w:autoSpaceDE w:val="0"/>
        <w:autoSpaceDN w:val="0"/>
        <w:adjustRightInd w:val="0"/>
        <w:spacing w:line="276" w:lineRule="auto"/>
        <w:ind w:right="-619"/>
        <w:rPr>
          <w:rFonts w:ascii="Arial" w:hAnsi="Arial" w:cs="Arial"/>
          <w:color w:val="3E5F73"/>
        </w:rPr>
      </w:pPr>
    </w:p>
    <w:p w14:paraId="2DFD417A" w14:textId="77777777" w:rsidR="0022646E" w:rsidRPr="0022646E" w:rsidRDefault="0022646E" w:rsidP="0022646E">
      <w:pPr>
        <w:pStyle w:val="ListParagraph"/>
        <w:widowControl/>
        <w:numPr>
          <w:ilvl w:val="0"/>
          <w:numId w:val="2"/>
        </w:numPr>
        <w:autoSpaceDE w:val="0"/>
        <w:autoSpaceDN w:val="0"/>
        <w:adjustRightInd w:val="0"/>
        <w:spacing w:line="276" w:lineRule="auto"/>
        <w:ind w:right="-619"/>
        <w:contextualSpacing/>
        <w:rPr>
          <w:color w:val="3F5664"/>
          <w:sz w:val="24"/>
          <w:szCs w:val="24"/>
        </w:rPr>
      </w:pPr>
      <w:r w:rsidRPr="0022646E">
        <w:rPr>
          <w:b/>
          <w:bCs/>
          <w:color w:val="3F5664"/>
          <w:sz w:val="24"/>
          <w:szCs w:val="24"/>
        </w:rPr>
        <w:lastRenderedPageBreak/>
        <w:t>Cautions are needed with the introduction of medication</w:t>
      </w:r>
      <w:r w:rsidRPr="0022646E">
        <w:rPr>
          <w:color w:val="3F5664"/>
          <w:sz w:val="24"/>
          <w:szCs w:val="24"/>
        </w:rPr>
        <w:t>, with careful monitoring of use and possible side-effects and a written plan to review (frequency/risks to be considered) and to discontinue as soon as is clinically possible. To specify when the medication is being reviewed or discontinued; build in review dates and clear instructions for this.</w:t>
      </w:r>
    </w:p>
    <w:p w14:paraId="67C5A7C8" w14:textId="77777777" w:rsidR="0022646E" w:rsidRPr="0022646E" w:rsidRDefault="0022646E" w:rsidP="0022646E">
      <w:pPr>
        <w:pStyle w:val="ListParagraph"/>
        <w:spacing w:line="276" w:lineRule="auto"/>
        <w:ind w:right="-619"/>
        <w:rPr>
          <w:color w:val="3F5664"/>
          <w:sz w:val="24"/>
          <w:szCs w:val="24"/>
        </w:rPr>
      </w:pPr>
    </w:p>
    <w:p w14:paraId="24C281EB" w14:textId="77777777" w:rsidR="0022646E" w:rsidRPr="0022646E" w:rsidRDefault="0022646E" w:rsidP="0022646E">
      <w:pPr>
        <w:pStyle w:val="ListParagraph"/>
        <w:autoSpaceDE w:val="0"/>
        <w:autoSpaceDN w:val="0"/>
        <w:adjustRightInd w:val="0"/>
        <w:spacing w:line="276" w:lineRule="auto"/>
        <w:ind w:left="360" w:right="-619"/>
        <w:rPr>
          <w:color w:val="3F5664"/>
          <w:sz w:val="24"/>
          <w:szCs w:val="24"/>
        </w:rPr>
      </w:pPr>
    </w:p>
    <w:p w14:paraId="54FEDB2D" w14:textId="77777777" w:rsidR="0022646E" w:rsidRPr="0022646E" w:rsidRDefault="0022646E" w:rsidP="0022646E">
      <w:pPr>
        <w:pStyle w:val="Heading2"/>
        <w:spacing w:before="0" w:line="276" w:lineRule="auto"/>
        <w:ind w:right="-619"/>
        <w:rPr>
          <w:rFonts w:cs="Arial"/>
        </w:rPr>
      </w:pPr>
      <w:bookmarkStart w:id="5" w:name="_Toc165980772"/>
      <w:bookmarkStart w:id="6" w:name="_Toc165981711"/>
      <w:bookmarkStart w:id="7" w:name="_Toc165981906"/>
      <w:bookmarkStart w:id="8" w:name="_Toc166742662"/>
      <w:r w:rsidRPr="0022646E">
        <w:rPr>
          <w:rFonts w:cs="Arial"/>
        </w:rPr>
        <w:t>Meeting the needs at the end of life</w:t>
      </w:r>
      <w:bookmarkEnd w:id="5"/>
      <w:bookmarkEnd w:id="6"/>
      <w:bookmarkEnd w:id="7"/>
      <w:bookmarkEnd w:id="8"/>
      <w:r w:rsidRPr="0022646E">
        <w:rPr>
          <w:rFonts w:cs="Arial"/>
        </w:rPr>
        <w:t xml:space="preserve"> </w:t>
      </w:r>
    </w:p>
    <w:p w14:paraId="502B4023" w14:textId="77777777" w:rsidR="0022646E" w:rsidRPr="0022646E" w:rsidRDefault="0022646E" w:rsidP="0022646E">
      <w:pPr>
        <w:autoSpaceDE w:val="0"/>
        <w:autoSpaceDN w:val="0"/>
        <w:adjustRightInd w:val="0"/>
        <w:spacing w:line="276" w:lineRule="auto"/>
        <w:ind w:right="-619"/>
        <w:rPr>
          <w:rFonts w:ascii="Arial" w:hAnsi="Arial" w:cs="Arial"/>
          <w:b/>
          <w:color w:val="CED664"/>
          <w:sz w:val="26"/>
          <w:szCs w:val="26"/>
        </w:rPr>
      </w:pPr>
    </w:p>
    <w:p w14:paraId="2648630C" w14:textId="77777777" w:rsidR="0022646E" w:rsidRPr="0022646E" w:rsidRDefault="0022646E" w:rsidP="0022646E">
      <w:pPr>
        <w:pStyle w:val="ListParagraph"/>
        <w:spacing w:line="276" w:lineRule="auto"/>
        <w:ind w:right="-619"/>
        <w:rPr>
          <w:rStyle w:val="Hyperlink"/>
          <w:color w:val="44546A" w:themeColor="text2"/>
          <w:szCs w:val="24"/>
        </w:rPr>
      </w:pPr>
      <w:r w:rsidRPr="0022646E">
        <w:rPr>
          <w:color w:val="44546A" w:themeColor="text2"/>
          <w:sz w:val="24"/>
          <w:shd w:val="clear" w:color="auto" w:fill="FFFFFF"/>
        </w:rPr>
        <w:t>Delirium is important to consider at the end of life. It may be almost universal in non-sudden death, especially in those with </w:t>
      </w:r>
      <w:hyperlink r:id="rId26" w:history="1">
        <w:r w:rsidRPr="0022646E">
          <w:rPr>
            <w:rStyle w:val="Hyperlink"/>
            <w:szCs w:val="24"/>
          </w:rPr>
          <w:t>dementia</w:t>
        </w:r>
      </w:hyperlink>
      <w:r w:rsidRPr="0022646E">
        <w:rPr>
          <w:rStyle w:val="EndnoteReference"/>
          <w:color w:val="44546A" w:themeColor="text2"/>
          <w:sz w:val="24"/>
          <w:szCs w:val="24"/>
          <w:shd w:val="clear" w:color="auto" w:fill="FFFFFF"/>
        </w:rPr>
        <w:endnoteReference w:id="13"/>
      </w:r>
      <w:r w:rsidRPr="0022646E">
        <w:rPr>
          <w:color w:val="44546A" w:themeColor="text2"/>
          <w:sz w:val="24"/>
          <w:shd w:val="clear" w:color="auto" w:fill="FFFFFF"/>
        </w:rPr>
        <w:t xml:space="preserve">. Delirium has a poor prognosis, regardless of how well it is identified, investigated, and treated, especially the hypoactive (drowsy) form. Half of those with delirium on general and geriatric medical wards will die within six months    </w:t>
      </w:r>
      <w:hyperlink r:id="rId27" w:history="1">
        <w:r w:rsidRPr="0022646E">
          <w:rPr>
            <w:rStyle w:val="Hyperlink"/>
            <w:szCs w:val="24"/>
          </w:rPr>
          <w:t>End of Life Care in Frailty: Delirium | British Geriatrics Society (bgs.org.uk</w:t>
        </w:r>
        <w:r w:rsidRPr="0022646E">
          <w:rPr>
            <w:rStyle w:val="Hyperlink"/>
            <w:color w:val="44546A" w:themeColor="text2"/>
            <w:szCs w:val="24"/>
          </w:rPr>
          <w:t>)</w:t>
        </w:r>
      </w:hyperlink>
      <w:r w:rsidRPr="0022646E">
        <w:rPr>
          <w:rStyle w:val="EndnoteReference"/>
          <w:color w:val="44546A" w:themeColor="text2"/>
          <w:sz w:val="24"/>
          <w:szCs w:val="24"/>
        </w:rPr>
        <w:endnoteReference w:id="14"/>
      </w:r>
      <w:r w:rsidRPr="0022646E">
        <w:rPr>
          <w:color w:val="44546A" w:themeColor="text2"/>
          <w:sz w:val="24"/>
        </w:rPr>
        <w:t xml:space="preserve"> and </w:t>
      </w:r>
      <w:hyperlink r:id="rId28" w:history="1">
        <w:r w:rsidRPr="0022646E">
          <w:rPr>
            <w:rStyle w:val="Hyperlink"/>
            <w:szCs w:val="24"/>
          </w:rPr>
          <w:t>End of Life Care in Frailty | British Geriatrics Society (bgs.org.uk)</w:t>
        </w:r>
      </w:hyperlink>
      <w:r w:rsidRPr="0022646E">
        <w:rPr>
          <w:rStyle w:val="EndnoteReference"/>
          <w:color w:val="44546A" w:themeColor="text2"/>
          <w:sz w:val="24"/>
          <w:szCs w:val="24"/>
        </w:rPr>
        <w:endnoteReference w:id="15"/>
      </w:r>
    </w:p>
    <w:p w14:paraId="420C7F27" w14:textId="77777777" w:rsidR="0022646E" w:rsidRPr="0022646E" w:rsidRDefault="0022646E" w:rsidP="0022646E">
      <w:pPr>
        <w:pStyle w:val="ListParagraph"/>
        <w:spacing w:line="276" w:lineRule="auto"/>
        <w:ind w:left="360" w:right="-619"/>
        <w:rPr>
          <w:color w:val="44546A" w:themeColor="text2"/>
          <w:sz w:val="24"/>
        </w:rPr>
      </w:pPr>
    </w:p>
    <w:p w14:paraId="7476D30E" w14:textId="77777777" w:rsidR="0022646E" w:rsidRPr="0022646E" w:rsidRDefault="0022646E" w:rsidP="0022646E">
      <w:pPr>
        <w:spacing w:line="276" w:lineRule="auto"/>
        <w:ind w:right="-619"/>
        <w:rPr>
          <w:rFonts w:ascii="Arial" w:hAnsi="Arial" w:cs="Arial"/>
          <w:color w:val="3E5F73"/>
        </w:rPr>
      </w:pPr>
      <w:r w:rsidRPr="0022646E">
        <w:rPr>
          <w:rFonts w:ascii="Arial" w:hAnsi="Arial" w:cs="Arial"/>
          <w:color w:val="3E5F73"/>
        </w:rPr>
        <w:t xml:space="preserve">Distinguishing delirium in the person who is imminently dying with reversible delirium is a key clinical challenge. This can be more challenging too, when the person has an underlying diagnosed dementia or cognitive impairment. </w:t>
      </w:r>
    </w:p>
    <w:p w14:paraId="0D8BC2C4" w14:textId="77777777" w:rsidR="0022646E" w:rsidRPr="0022646E" w:rsidRDefault="0022646E" w:rsidP="0022646E">
      <w:pPr>
        <w:pStyle w:val="ListParagraph"/>
        <w:widowControl/>
        <w:numPr>
          <w:ilvl w:val="0"/>
          <w:numId w:val="2"/>
        </w:numPr>
        <w:spacing w:line="276" w:lineRule="auto"/>
        <w:ind w:right="-619"/>
        <w:contextualSpacing/>
        <w:rPr>
          <w:color w:val="425563"/>
          <w:sz w:val="24"/>
        </w:rPr>
      </w:pPr>
      <w:r w:rsidRPr="0022646E">
        <w:rPr>
          <w:color w:val="425563"/>
          <w:sz w:val="24"/>
        </w:rPr>
        <w:t xml:space="preserve">Symptoms and causes of distress in the person with delirium at end of life are often multifactorial. </w:t>
      </w:r>
    </w:p>
    <w:p w14:paraId="45BB8449" w14:textId="77777777" w:rsidR="0022646E" w:rsidRPr="0022646E" w:rsidRDefault="0022646E" w:rsidP="0022646E">
      <w:pPr>
        <w:pStyle w:val="ListParagraph"/>
        <w:widowControl/>
        <w:numPr>
          <w:ilvl w:val="0"/>
          <w:numId w:val="2"/>
        </w:numPr>
        <w:spacing w:line="276" w:lineRule="auto"/>
        <w:ind w:right="-619"/>
        <w:contextualSpacing/>
        <w:rPr>
          <w:color w:val="425563"/>
          <w:sz w:val="24"/>
        </w:rPr>
      </w:pPr>
      <w:r w:rsidRPr="0022646E">
        <w:rPr>
          <w:color w:val="425563"/>
          <w:sz w:val="24"/>
          <w:szCs w:val="24"/>
        </w:rPr>
        <w:t xml:space="preserve">Clear information and shared decision making are needed for all elements of the management plan Davies and </w:t>
      </w:r>
      <w:proofErr w:type="spellStart"/>
      <w:r w:rsidRPr="0022646E">
        <w:rPr>
          <w:color w:val="425563"/>
          <w:sz w:val="24"/>
          <w:szCs w:val="24"/>
        </w:rPr>
        <w:t>Iliffe</w:t>
      </w:r>
      <w:proofErr w:type="spellEnd"/>
      <w:r w:rsidRPr="0022646E">
        <w:rPr>
          <w:color w:val="425563"/>
          <w:sz w:val="24"/>
          <w:szCs w:val="24"/>
        </w:rPr>
        <w:t xml:space="preserve"> (2020)</w:t>
      </w:r>
    </w:p>
    <w:p w14:paraId="45CECF5E" w14:textId="77777777" w:rsidR="0022646E" w:rsidRPr="0022646E" w:rsidRDefault="005A5EE8" w:rsidP="0022646E">
      <w:pPr>
        <w:pStyle w:val="ListParagraph"/>
        <w:widowControl/>
        <w:numPr>
          <w:ilvl w:val="0"/>
          <w:numId w:val="2"/>
        </w:numPr>
        <w:spacing w:line="276" w:lineRule="auto"/>
        <w:ind w:right="-619"/>
        <w:contextualSpacing/>
        <w:rPr>
          <w:color w:val="425563"/>
          <w:sz w:val="24"/>
          <w:szCs w:val="24"/>
        </w:rPr>
      </w:pPr>
      <w:hyperlink r:id="rId29" w:history="1">
        <w:r w:rsidR="0022646E" w:rsidRPr="0022646E">
          <w:rPr>
            <w:rStyle w:val="Hyperlink"/>
            <w:szCs w:val="24"/>
          </w:rPr>
          <w:t>This guide</w:t>
        </w:r>
      </w:hyperlink>
      <w:r w:rsidR="0022646E" w:rsidRPr="0022646E">
        <w:rPr>
          <w:rStyle w:val="EndnoteReference"/>
          <w:color w:val="425563"/>
          <w:sz w:val="24"/>
          <w:szCs w:val="24"/>
        </w:rPr>
        <w:endnoteReference w:id="16"/>
      </w:r>
      <w:r w:rsidR="0022646E" w:rsidRPr="0022646E">
        <w:rPr>
          <w:color w:val="425563"/>
          <w:sz w:val="24"/>
        </w:rPr>
        <w:t xml:space="preserve"> </w:t>
      </w:r>
      <w:r w:rsidR="0022646E" w:rsidRPr="0022646E">
        <w:rPr>
          <w:color w:val="425563"/>
          <w:sz w:val="24"/>
          <w:szCs w:val="24"/>
        </w:rPr>
        <w:t>has been created for any healthcare professionals providing care and support for people with dementia at the end of life. It can be used for training, to support decision-making, and help you have discussions with family members and advocates.</w:t>
      </w:r>
    </w:p>
    <w:p w14:paraId="29F623BD" w14:textId="77777777" w:rsidR="0022646E" w:rsidRPr="0022646E" w:rsidRDefault="0022646E" w:rsidP="0022646E">
      <w:pPr>
        <w:spacing w:line="276" w:lineRule="auto"/>
        <w:ind w:right="-619"/>
        <w:rPr>
          <w:rFonts w:ascii="Arial" w:hAnsi="Arial" w:cs="Arial"/>
          <w:color w:val="425563"/>
        </w:rPr>
      </w:pPr>
    </w:p>
    <w:p w14:paraId="66490058" w14:textId="77777777" w:rsidR="0022646E" w:rsidRDefault="0022646E" w:rsidP="0022646E">
      <w:pPr>
        <w:spacing w:line="276" w:lineRule="auto"/>
        <w:ind w:right="-619"/>
        <w:rPr>
          <w:rFonts w:ascii="Arial" w:hAnsi="Arial" w:cs="Arial"/>
          <w:color w:val="425563"/>
        </w:rPr>
      </w:pPr>
    </w:p>
    <w:p w14:paraId="0A1C2444" w14:textId="77777777" w:rsidR="0022646E" w:rsidRDefault="0022646E" w:rsidP="0022646E">
      <w:pPr>
        <w:spacing w:line="276" w:lineRule="auto"/>
        <w:ind w:right="-619"/>
        <w:rPr>
          <w:rFonts w:ascii="Arial" w:hAnsi="Arial" w:cs="Arial"/>
          <w:color w:val="425563"/>
        </w:rPr>
      </w:pPr>
    </w:p>
    <w:p w14:paraId="62C5D449" w14:textId="199F2A08" w:rsidR="0022646E" w:rsidRPr="0022646E" w:rsidRDefault="0022646E" w:rsidP="0022646E">
      <w:pPr>
        <w:spacing w:line="276" w:lineRule="auto"/>
        <w:ind w:right="-619"/>
        <w:rPr>
          <w:rFonts w:ascii="Arial" w:hAnsi="Arial" w:cs="Arial"/>
          <w:b/>
          <w:bCs/>
          <w:color w:val="425563"/>
        </w:rPr>
      </w:pPr>
      <w:r w:rsidRPr="0022646E">
        <w:rPr>
          <w:rFonts w:ascii="Arial" w:hAnsi="Arial" w:cs="Arial"/>
          <w:b/>
          <w:bCs/>
          <w:color w:val="425563"/>
        </w:rPr>
        <w:t xml:space="preserve">Agitation and restlessness </w:t>
      </w:r>
    </w:p>
    <w:p w14:paraId="5A6DF16C" w14:textId="77777777" w:rsidR="0022646E" w:rsidRPr="0022646E" w:rsidRDefault="0022646E" w:rsidP="0022646E">
      <w:pPr>
        <w:pStyle w:val="ListParagraph"/>
        <w:widowControl/>
        <w:numPr>
          <w:ilvl w:val="0"/>
          <w:numId w:val="2"/>
        </w:numPr>
        <w:spacing w:line="276" w:lineRule="auto"/>
        <w:ind w:right="-619"/>
        <w:contextualSpacing/>
        <w:rPr>
          <w:color w:val="425563"/>
          <w:sz w:val="24"/>
        </w:rPr>
      </w:pPr>
      <w:r w:rsidRPr="0022646E">
        <w:rPr>
          <w:color w:val="425563"/>
          <w:sz w:val="24"/>
        </w:rPr>
        <w:t xml:space="preserve">Look for an underlying cause, as you would do for delirium assessment. Agitation and restlessness may not always be caused by dementia. If there is no identifiable cause, then consider non-drug treatments, e.g., music therapy, massage or aromatherapy, and trial pain relief. </w:t>
      </w:r>
    </w:p>
    <w:p w14:paraId="46D3B492" w14:textId="77777777" w:rsidR="0022646E" w:rsidRPr="0022646E" w:rsidRDefault="0022646E" w:rsidP="0022646E">
      <w:pPr>
        <w:pStyle w:val="ListParagraph"/>
        <w:widowControl/>
        <w:numPr>
          <w:ilvl w:val="0"/>
          <w:numId w:val="2"/>
        </w:numPr>
        <w:spacing w:line="276" w:lineRule="auto"/>
        <w:ind w:right="-619"/>
        <w:contextualSpacing/>
        <w:rPr>
          <w:color w:val="425563"/>
          <w:sz w:val="24"/>
        </w:rPr>
      </w:pPr>
      <w:r w:rsidRPr="0022646E">
        <w:rPr>
          <w:color w:val="425563"/>
          <w:sz w:val="24"/>
        </w:rPr>
        <w:t xml:space="preserve">Towards the end of a person’s life, you should only continue medication or interventions that are likely to maintain their comfort and quality of life. The same goes for starting them on any new medication or interventions. Davies and </w:t>
      </w:r>
      <w:proofErr w:type="spellStart"/>
      <w:r w:rsidRPr="0022646E">
        <w:rPr>
          <w:color w:val="425563"/>
          <w:sz w:val="24"/>
        </w:rPr>
        <w:t>Iliffe</w:t>
      </w:r>
      <w:proofErr w:type="spellEnd"/>
      <w:r w:rsidRPr="0022646E">
        <w:rPr>
          <w:color w:val="425563"/>
          <w:sz w:val="24"/>
        </w:rPr>
        <w:t xml:space="preserve"> (2020)</w:t>
      </w:r>
    </w:p>
    <w:p w14:paraId="42C313F0" w14:textId="77777777" w:rsidR="0022646E" w:rsidRPr="0022646E" w:rsidRDefault="0022646E" w:rsidP="0022646E">
      <w:pPr>
        <w:autoSpaceDE w:val="0"/>
        <w:autoSpaceDN w:val="0"/>
        <w:adjustRightInd w:val="0"/>
        <w:spacing w:line="276" w:lineRule="auto"/>
        <w:ind w:right="-619"/>
        <w:rPr>
          <w:rFonts w:ascii="Arial" w:hAnsi="Arial" w:cs="Arial"/>
        </w:rPr>
      </w:pPr>
    </w:p>
    <w:p w14:paraId="598A847F" w14:textId="69BDDBD5" w:rsidR="0022646E" w:rsidRPr="0022646E" w:rsidRDefault="0022646E" w:rsidP="0022646E">
      <w:pPr>
        <w:pStyle w:val="Heading1-darkblue"/>
      </w:pPr>
      <w:r w:rsidRPr="0022646E">
        <w:lastRenderedPageBreak/>
        <w:t xml:space="preserve">Medical engagement </w:t>
      </w:r>
    </w:p>
    <w:p w14:paraId="3209E064" w14:textId="77777777" w:rsidR="0022646E" w:rsidRPr="0022646E" w:rsidRDefault="0022646E" w:rsidP="0022646E">
      <w:pPr>
        <w:autoSpaceDE w:val="0"/>
        <w:autoSpaceDN w:val="0"/>
        <w:adjustRightInd w:val="0"/>
        <w:spacing w:line="276" w:lineRule="auto"/>
        <w:ind w:right="-619"/>
        <w:rPr>
          <w:rFonts w:ascii="Arial" w:hAnsi="Arial" w:cs="Arial"/>
          <w:b/>
          <w:color w:val="3F5664"/>
        </w:rPr>
      </w:pPr>
    </w:p>
    <w:p w14:paraId="3FF23784"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b/>
          <w:bCs/>
          <w:color w:val="3F5664"/>
        </w:rPr>
        <w:t>Early explanation to family members and caregivers</w:t>
      </w:r>
      <w:r w:rsidRPr="0022646E">
        <w:rPr>
          <w:rFonts w:ascii="Arial" w:hAnsi="Arial" w:cs="Arial"/>
          <w:color w:val="3F5664"/>
        </w:rPr>
        <w:t xml:space="preserve"> about the diagnosis, cause, investigation, </w:t>
      </w:r>
      <w:proofErr w:type="gramStart"/>
      <w:r w:rsidRPr="0022646E">
        <w:rPr>
          <w:rFonts w:ascii="Arial" w:hAnsi="Arial" w:cs="Arial"/>
          <w:color w:val="3F5664"/>
        </w:rPr>
        <w:t>management</w:t>
      </w:r>
      <w:proofErr w:type="gramEnd"/>
      <w:r w:rsidRPr="0022646E">
        <w:rPr>
          <w:rFonts w:ascii="Arial" w:hAnsi="Arial" w:cs="Arial"/>
          <w:color w:val="3F5664"/>
        </w:rPr>
        <w:t xml:space="preserve"> and prognosis of delirium should be undertaken by an experienced clinician. </w:t>
      </w:r>
    </w:p>
    <w:p w14:paraId="4A489EF7"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5F0745AA" w14:textId="77777777" w:rsidR="0022646E" w:rsidRPr="0022646E" w:rsidRDefault="0022646E" w:rsidP="0022646E">
      <w:pPr>
        <w:pStyle w:val="ListParagraph"/>
        <w:widowControl/>
        <w:numPr>
          <w:ilvl w:val="0"/>
          <w:numId w:val="3"/>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Written information should also be provided, such as the </w:t>
      </w:r>
      <w:hyperlink r:id="rId30" w:history="1">
        <w:r w:rsidRPr="0022646E">
          <w:rPr>
            <w:rStyle w:val="Hyperlink"/>
            <w:szCs w:val="24"/>
          </w:rPr>
          <w:t>GM Delirium leaflet</w:t>
        </w:r>
      </w:hyperlink>
      <w:r w:rsidRPr="0022646E">
        <w:rPr>
          <w:rStyle w:val="EndnoteReference"/>
          <w:b/>
          <w:bCs/>
          <w:color w:val="3F5664"/>
          <w:sz w:val="24"/>
          <w:szCs w:val="24"/>
        </w:rPr>
        <w:endnoteReference w:id="17"/>
      </w:r>
      <w:r w:rsidRPr="0022646E">
        <w:rPr>
          <w:b/>
          <w:bCs/>
          <w:color w:val="3F5664"/>
          <w:sz w:val="24"/>
          <w:szCs w:val="24"/>
        </w:rPr>
        <w:t xml:space="preserve"> </w:t>
      </w:r>
      <w:r w:rsidRPr="0022646E">
        <w:rPr>
          <w:color w:val="3F5664"/>
          <w:sz w:val="24"/>
          <w:szCs w:val="24"/>
        </w:rPr>
        <w:t xml:space="preserve">This includes going through the longer leaflet with the person and the completion of the person-centred care plan at the end of the leaflet. This will enable the person and family members to have this information and share when needed themselves. </w:t>
      </w:r>
    </w:p>
    <w:p w14:paraId="35088617"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230CF973"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Symptoms such as paranoia/hallucinations, problems with delivery of nutrition and hydration, and legal and ethical complications may need </w:t>
      </w:r>
      <w:r w:rsidRPr="0022646E">
        <w:rPr>
          <w:rFonts w:ascii="Arial" w:hAnsi="Arial" w:cs="Arial"/>
          <w:b/>
          <w:bCs/>
          <w:color w:val="3F5664"/>
        </w:rPr>
        <w:t>the input of specialist staff</w:t>
      </w:r>
      <w:r w:rsidRPr="0022646E">
        <w:rPr>
          <w:rFonts w:ascii="Arial" w:hAnsi="Arial" w:cs="Arial"/>
          <w:color w:val="3F5664"/>
        </w:rPr>
        <w:t xml:space="preserve">. </w:t>
      </w:r>
    </w:p>
    <w:p w14:paraId="43CA6321"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4649C53A" w14:textId="77777777" w:rsidR="0022646E" w:rsidRPr="0022646E" w:rsidRDefault="0022646E" w:rsidP="0022646E">
      <w:pPr>
        <w:pStyle w:val="ListParagraph"/>
        <w:widowControl/>
        <w:numPr>
          <w:ilvl w:val="0"/>
          <w:numId w:val="3"/>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In these circumstances, advice should be sought from the Mental Health Liaison team or a Geriatrician, or allied health professionals, or colleagues from safeguarding and quality. </w:t>
      </w:r>
    </w:p>
    <w:p w14:paraId="17200C8D" w14:textId="77777777" w:rsidR="0022646E" w:rsidRPr="0022646E" w:rsidRDefault="0022646E" w:rsidP="0022646E">
      <w:pPr>
        <w:pStyle w:val="ListParagraph"/>
        <w:widowControl/>
        <w:numPr>
          <w:ilvl w:val="0"/>
          <w:numId w:val="3"/>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Monitor recovery and consider specialist referral to a geriatrician or mental health liaison if not recovering. </w:t>
      </w:r>
    </w:p>
    <w:p w14:paraId="438E45D4"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4419B03B"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Aim to </w:t>
      </w:r>
      <w:r w:rsidRPr="0022646E">
        <w:rPr>
          <w:rFonts w:ascii="Arial" w:hAnsi="Arial" w:cs="Arial"/>
          <w:b/>
          <w:bCs/>
          <w:color w:val="3F5664"/>
        </w:rPr>
        <w:t>prevent the complications</w:t>
      </w:r>
      <w:r w:rsidRPr="0022646E">
        <w:rPr>
          <w:rFonts w:ascii="Arial" w:hAnsi="Arial" w:cs="Arial"/>
          <w:color w:val="3F5664"/>
        </w:rPr>
        <w:t xml:space="preserve"> of delirium such as immobility, falls, pressure sores, dehydration, malnourishment, and isolation.</w:t>
      </w:r>
    </w:p>
    <w:p w14:paraId="288A9596" w14:textId="77777777" w:rsidR="0022646E" w:rsidRPr="0022646E" w:rsidRDefault="0022646E" w:rsidP="0022646E">
      <w:pPr>
        <w:autoSpaceDE w:val="0"/>
        <w:autoSpaceDN w:val="0"/>
        <w:adjustRightInd w:val="0"/>
        <w:spacing w:line="276" w:lineRule="auto"/>
        <w:ind w:right="-619"/>
        <w:rPr>
          <w:rFonts w:ascii="Arial" w:hAnsi="Arial" w:cs="Arial"/>
          <w:b/>
          <w:bCs/>
          <w:color w:val="3F5664"/>
        </w:rPr>
      </w:pPr>
    </w:p>
    <w:p w14:paraId="67996046" w14:textId="77777777" w:rsidR="0022646E" w:rsidRPr="0022646E" w:rsidRDefault="0022646E" w:rsidP="0022646E">
      <w:pPr>
        <w:pStyle w:val="Heading2"/>
        <w:spacing w:before="0" w:line="276" w:lineRule="auto"/>
        <w:ind w:right="-619"/>
        <w:rPr>
          <w:rFonts w:cs="Arial"/>
        </w:rPr>
      </w:pPr>
      <w:bookmarkStart w:id="9" w:name="_Toc165980773"/>
      <w:bookmarkStart w:id="10" w:name="_Toc165981712"/>
      <w:bookmarkStart w:id="11" w:name="_Toc165981907"/>
      <w:bookmarkStart w:id="12" w:name="_Toc166742663"/>
      <w:r w:rsidRPr="0022646E">
        <w:rPr>
          <w:rFonts w:cs="Arial"/>
        </w:rPr>
        <w:t>Recovery from delirium</w:t>
      </w:r>
      <w:bookmarkEnd w:id="9"/>
      <w:bookmarkEnd w:id="10"/>
      <w:bookmarkEnd w:id="11"/>
      <w:bookmarkEnd w:id="12"/>
      <w:r w:rsidRPr="0022646E">
        <w:rPr>
          <w:rFonts w:cs="Arial"/>
        </w:rPr>
        <w:t xml:space="preserve"> </w:t>
      </w:r>
    </w:p>
    <w:p w14:paraId="020F53E5" w14:textId="77777777" w:rsidR="0022646E" w:rsidRPr="0022646E" w:rsidRDefault="0022646E" w:rsidP="0022646E">
      <w:pPr>
        <w:spacing w:line="276" w:lineRule="auto"/>
        <w:ind w:right="-619"/>
        <w:rPr>
          <w:rFonts w:ascii="Arial" w:hAnsi="Arial" w:cs="Arial"/>
          <w:b/>
          <w:bCs/>
          <w:color w:val="FF0000"/>
        </w:rPr>
      </w:pPr>
    </w:p>
    <w:p w14:paraId="21123257"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During the period of recovery, steps should be taken to avoid a relapse of the delirium (see section below on Delirium prevention). </w:t>
      </w:r>
    </w:p>
    <w:p w14:paraId="5221E549"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7965FC68" w14:textId="77777777" w:rsidR="0022646E" w:rsidRPr="0022646E" w:rsidRDefault="0022646E" w:rsidP="0022646E">
      <w:pPr>
        <w:pStyle w:val="ListParagraph"/>
        <w:widowControl/>
        <w:numPr>
          <w:ilvl w:val="0"/>
          <w:numId w:val="1"/>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Part of preventing delirium includes minimising ward moves. Moving people who have a delirium from one bed area to another will exacerbate the delirium, increasing complications, morbidity, mortality, and length of stay. </w:t>
      </w:r>
    </w:p>
    <w:p w14:paraId="58910848" w14:textId="77777777" w:rsidR="0022646E" w:rsidRPr="0022646E" w:rsidRDefault="0022646E" w:rsidP="0022646E">
      <w:pPr>
        <w:pStyle w:val="ListParagraph"/>
        <w:widowControl/>
        <w:numPr>
          <w:ilvl w:val="0"/>
          <w:numId w:val="1"/>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Similarly, even when a person has recovered from delirium, unnecessary ward moves may result in a delirium relapse with the associated consequences and risks of patient harm. </w:t>
      </w:r>
    </w:p>
    <w:p w14:paraId="4EF79E94"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0C8B673D"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Ensure that you have provided the person and family with the GM Delirium leaflets</w:t>
      </w:r>
      <w:r w:rsidRPr="0022646E">
        <w:rPr>
          <w:rStyle w:val="EndnoteReference"/>
          <w:rFonts w:ascii="Arial" w:hAnsi="Arial" w:cs="Arial"/>
          <w:b/>
          <w:bCs/>
          <w:color w:val="3F5664"/>
        </w:rPr>
        <w:endnoteReference w:id="18"/>
      </w:r>
      <w:r w:rsidRPr="0022646E">
        <w:rPr>
          <w:rFonts w:ascii="Arial" w:hAnsi="Arial" w:cs="Arial"/>
          <w:color w:val="3F5664"/>
        </w:rPr>
        <w:t xml:space="preserve"> and have spent time explaining the leaflet and consider completing the person-centred care plan, at the end of the leaflet.</w:t>
      </w:r>
    </w:p>
    <w:p w14:paraId="5B044FF9"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4F7CE1DE"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Some people will not recall their episode of delirium. Some will experience flashbacks as parts of it return and some will recall of their episode. Encourage the person to talk things through with yourselves or the nursing team. </w:t>
      </w:r>
    </w:p>
    <w:p w14:paraId="04F1D665"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4CBAA4E0"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Following recovery from an episode of delirium, please consider the following: </w:t>
      </w:r>
    </w:p>
    <w:p w14:paraId="2F540A74"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4621DF41" w14:textId="77777777" w:rsidR="0022646E" w:rsidRPr="0022646E" w:rsidRDefault="0022646E" w:rsidP="0022646E">
      <w:pPr>
        <w:pStyle w:val="ListParagraph"/>
        <w:widowControl/>
        <w:numPr>
          <w:ilvl w:val="0"/>
          <w:numId w:val="1"/>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Always add the diagnosis of delirium into the patient’s Electronic Patient Record. </w:t>
      </w:r>
    </w:p>
    <w:p w14:paraId="1C7E95A9" w14:textId="77777777" w:rsidR="0022646E" w:rsidRPr="0022646E" w:rsidRDefault="0022646E" w:rsidP="0022646E">
      <w:pPr>
        <w:pStyle w:val="ListParagraph"/>
        <w:widowControl/>
        <w:numPr>
          <w:ilvl w:val="0"/>
          <w:numId w:val="1"/>
        </w:numPr>
        <w:autoSpaceDE w:val="0"/>
        <w:autoSpaceDN w:val="0"/>
        <w:adjustRightInd w:val="0"/>
        <w:spacing w:line="276" w:lineRule="auto"/>
        <w:ind w:right="-619"/>
        <w:contextualSpacing/>
        <w:rPr>
          <w:color w:val="3F5664"/>
          <w:sz w:val="24"/>
          <w:szCs w:val="24"/>
        </w:rPr>
      </w:pPr>
      <w:r w:rsidRPr="0022646E">
        <w:rPr>
          <w:color w:val="3F5664"/>
          <w:sz w:val="24"/>
          <w:szCs w:val="24"/>
        </w:rPr>
        <w:t xml:space="preserve">Highlight the presence of delirium in the related section of the discharge summary. </w:t>
      </w:r>
    </w:p>
    <w:p w14:paraId="3F402E17" w14:textId="77777777" w:rsidR="0022646E" w:rsidRPr="0022646E" w:rsidRDefault="0022646E" w:rsidP="0022646E">
      <w:pPr>
        <w:autoSpaceDE w:val="0"/>
        <w:autoSpaceDN w:val="0"/>
        <w:adjustRightInd w:val="0"/>
        <w:spacing w:line="276" w:lineRule="auto"/>
        <w:ind w:right="-619"/>
        <w:rPr>
          <w:rFonts w:ascii="Arial" w:hAnsi="Arial" w:cs="Arial"/>
          <w:color w:val="3F5664"/>
        </w:rPr>
      </w:pPr>
    </w:p>
    <w:p w14:paraId="1C34FCF4" w14:textId="77777777" w:rsidR="0022646E" w:rsidRPr="0022646E" w:rsidRDefault="0022646E" w:rsidP="0022646E">
      <w:pPr>
        <w:autoSpaceDE w:val="0"/>
        <w:autoSpaceDN w:val="0"/>
        <w:adjustRightInd w:val="0"/>
        <w:spacing w:line="276" w:lineRule="auto"/>
        <w:ind w:right="-619"/>
        <w:rPr>
          <w:rFonts w:ascii="Arial" w:hAnsi="Arial" w:cs="Arial"/>
          <w:color w:val="3F5664"/>
        </w:rPr>
      </w:pPr>
      <w:r w:rsidRPr="0022646E">
        <w:rPr>
          <w:rFonts w:ascii="Arial" w:hAnsi="Arial" w:cs="Arial"/>
          <w:color w:val="3F5664"/>
        </w:rPr>
        <w:t xml:space="preserve">Refer for </w:t>
      </w:r>
      <w:r w:rsidRPr="0022646E">
        <w:rPr>
          <w:rFonts w:ascii="Arial" w:hAnsi="Arial" w:cs="Arial"/>
          <w:b/>
          <w:bCs/>
          <w:color w:val="3F5664"/>
        </w:rPr>
        <w:t>follow-up</w:t>
      </w:r>
      <w:r w:rsidRPr="0022646E">
        <w:rPr>
          <w:rFonts w:ascii="Arial" w:hAnsi="Arial" w:cs="Arial"/>
          <w:color w:val="3F5664"/>
        </w:rPr>
        <w:t xml:space="preserve"> anyone with </w:t>
      </w:r>
      <w:r w:rsidRPr="0022646E">
        <w:rPr>
          <w:rFonts w:ascii="Arial" w:hAnsi="Arial" w:cs="Arial"/>
          <w:b/>
          <w:bCs/>
          <w:color w:val="3F5664"/>
        </w:rPr>
        <w:t>resolving delirium</w:t>
      </w:r>
      <w:r w:rsidRPr="0022646E">
        <w:rPr>
          <w:rFonts w:ascii="Arial" w:hAnsi="Arial" w:cs="Arial"/>
          <w:color w:val="3F5664"/>
        </w:rPr>
        <w:t xml:space="preserve"> when considering discharge, or where you consider they would require a formal cognitive assessment when discharged. This includes the need for the involvement of community teams to facilitate review and monitoring of resolving delirium in the community and engagement in relation to short-term increased need for care and support and equipment. </w:t>
      </w:r>
    </w:p>
    <w:p w14:paraId="37D8D2E4" w14:textId="77777777" w:rsidR="0022646E" w:rsidRPr="0022646E" w:rsidRDefault="0022646E" w:rsidP="0022646E">
      <w:pPr>
        <w:pStyle w:val="ListParagraph"/>
        <w:widowControl/>
        <w:numPr>
          <w:ilvl w:val="0"/>
          <w:numId w:val="4"/>
        </w:numPr>
        <w:autoSpaceDE w:val="0"/>
        <w:autoSpaceDN w:val="0"/>
        <w:adjustRightInd w:val="0"/>
        <w:spacing w:line="276" w:lineRule="auto"/>
        <w:ind w:left="426" w:right="-619"/>
        <w:contextualSpacing/>
        <w:rPr>
          <w:color w:val="3F5664"/>
          <w:sz w:val="24"/>
          <w:szCs w:val="24"/>
        </w:rPr>
      </w:pPr>
      <w:r w:rsidRPr="0022646E">
        <w:rPr>
          <w:color w:val="3F5664"/>
          <w:sz w:val="24"/>
          <w:szCs w:val="24"/>
        </w:rPr>
        <w:t>It is therefore vitally important to ensure that the presence of resolved and/or resolving delirium is communicated clearly to all community and primary care colleagues. Plus:</w:t>
      </w:r>
    </w:p>
    <w:p w14:paraId="141F3BCA" w14:textId="77777777" w:rsidR="0022646E" w:rsidRPr="0022646E" w:rsidRDefault="0022646E" w:rsidP="0022646E">
      <w:pPr>
        <w:pStyle w:val="ListParagraph"/>
        <w:widowControl/>
        <w:numPr>
          <w:ilvl w:val="2"/>
          <w:numId w:val="6"/>
        </w:numPr>
        <w:autoSpaceDE w:val="0"/>
        <w:autoSpaceDN w:val="0"/>
        <w:adjustRightInd w:val="0"/>
        <w:spacing w:line="276" w:lineRule="auto"/>
        <w:ind w:left="993" w:right="-619"/>
        <w:contextualSpacing/>
        <w:rPr>
          <w:color w:val="3F5664"/>
          <w:sz w:val="24"/>
          <w:szCs w:val="24"/>
        </w:rPr>
      </w:pPr>
      <w:r w:rsidRPr="0022646E">
        <w:rPr>
          <w:color w:val="3F5664"/>
          <w:sz w:val="24"/>
          <w:szCs w:val="24"/>
        </w:rPr>
        <w:t xml:space="preserve">Inform the GP if follow up is required, </w:t>
      </w:r>
      <w:proofErr w:type="gramStart"/>
      <w:r w:rsidRPr="0022646E">
        <w:rPr>
          <w:color w:val="3F5664"/>
          <w:sz w:val="24"/>
          <w:szCs w:val="24"/>
        </w:rPr>
        <w:t>in order for</w:t>
      </w:r>
      <w:proofErr w:type="gramEnd"/>
      <w:r w:rsidRPr="0022646E">
        <w:rPr>
          <w:color w:val="3F5664"/>
          <w:sz w:val="24"/>
          <w:szCs w:val="24"/>
        </w:rPr>
        <w:t xml:space="preserve"> this to be actioned.</w:t>
      </w:r>
    </w:p>
    <w:p w14:paraId="0D456863" w14:textId="77777777" w:rsidR="0022646E" w:rsidRPr="0022646E" w:rsidRDefault="0022646E" w:rsidP="0022646E">
      <w:pPr>
        <w:pStyle w:val="ListParagraph"/>
        <w:widowControl/>
        <w:numPr>
          <w:ilvl w:val="2"/>
          <w:numId w:val="6"/>
        </w:numPr>
        <w:autoSpaceDE w:val="0"/>
        <w:autoSpaceDN w:val="0"/>
        <w:adjustRightInd w:val="0"/>
        <w:spacing w:line="276" w:lineRule="auto"/>
        <w:ind w:left="993" w:right="-619"/>
        <w:contextualSpacing/>
        <w:rPr>
          <w:color w:val="3F5664"/>
          <w:sz w:val="24"/>
          <w:szCs w:val="24"/>
        </w:rPr>
      </w:pPr>
      <w:r w:rsidRPr="0022646E">
        <w:rPr>
          <w:color w:val="3F5664"/>
          <w:sz w:val="24"/>
          <w:szCs w:val="24"/>
        </w:rPr>
        <w:t>Inform the patient and family, so they can follow this up too.</w:t>
      </w:r>
    </w:p>
    <w:p w14:paraId="3AC253B0" w14:textId="77777777" w:rsidR="0022646E" w:rsidRPr="0022646E" w:rsidRDefault="0022646E" w:rsidP="0022646E">
      <w:pPr>
        <w:spacing w:line="276" w:lineRule="auto"/>
        <w:ind w:right="-619"/>
        <w:rPr>
          <w:rFonts w:ascii="Arial" w:hAnsi="Arial" w:cs="Arial"/>
          <w:b/>
          <w:bCs/>
          <w:color w:val="3F5664"/>
        </w:rPr>
      </w:pPr>
    </w:p>
    <w:p w14:paraId="4C1169D8" w14:textId="77777777" w:rsidR="0022646E" w:rsidRPr="0022646E" w:rsidRDefault="0022646E" w:rsidP="0022646E">
      <w:pPr>
        <w:pStyle w:val="Heading2"/>
        <w:spacing w:before="0" w:line="276" w:lineRule="auto"/>
        <w:ind w:right="-619"/>
        <w:rPr>
          <w:rFonts w:cs="Arial"/>
        </w:rPr>
      </w:pPr>
      <w:bookmarkStart w:id="13" w:name="_Toc165980774"/>
      <w:bookmarkStart w:id="14" w:name="_Toc165981713"/>
      <w:bookmarkStart w:id="15" w:name="_Toc165981908"/>
      <w:bookmarkStart w:id="16" w:name="_Toc166742664"/>
      <w:r w:rsidRPr="0022646E">
        <w:rPr>
          <w:rFonts w:cs="Arial"/>
        </w:rPr>
        <w:t>Delirium prevention</w:t>
      </w:r>
      <w:bookmarkEnd w:id="13"/>
      <w:bookmarkEnd w:id="14"/>
      <w:bookmarkEnd w:id="15"/>
      <w:bookmarkEnd w:id="16"/>
      <w:r w:rsidRPr="0022646E">
        <w:rPr>
          <w:rFonts w:cs="Arial"/>
        </w:rPr>
        <w:t xml:space="preserve"> </w:t>
      </w:r>
    </w:p>
    <w:p w14:paraId="53165451" w14:textId="77777777" w:rsidR="0022646E" w:rsidRPr="0022646E" w:rsidRDefault="0022646E" w:rsidP="0022646E">
      <w:pPr>
        <w:pStyle w:val="Default"/>
        <w:spacing w:line="276" w:lineRule="auto"/>
        <w:ind w:right="-619"/>
        <w:rPr>
          <w:b/>
          <w:bCs/>
          <w:color w:val="3F5664"/>
        </w:rPr>
      </w:pPr>
    </w:p>
    <w:p w14:paraId="1AAD80E5" w14:textId="77777777" w:rsidR="0022646E" w:rsidRPr="0022646E" w:rsidRDefault="0022646E" w:rsidP="0022646E">
      <w:pPr>
        <w:pStyle w:val="Default"/>
        <w:spacing w:line="276" w:lineRule="auto"/>
        <w:ind w:right="-619"/>
        <w:rPr>
          <w:color w:val="3F5664"/>
        </w:rPr>
      </w:pPr>
      <w:r w:rsidRPr="0022646E">
        <w:rPr>
          <w:color w:val="3F5664"/>
        </w:rPr>
        <w:t xml:space="preserve">Some people are at higher risk of developing delirium than others. For example, people who have experienced delirium previously are at higher risk of developing it again. This highlights the importance of screening for delirium in high-risk groups and adopting delirium prevention strategies. It is vitally important that this information is relayed to the person and family members. The </w:t>
      </w:r>
      <w:r w:rsidRPr="0022646E">
        <w:rPr>
          <w:b/>
          <w:bCs/>
          <w:color w:val="3F5664"/>
        </w:rPr>
        <w:t>main risk factors for developing delirium</w:t>
      </w:r>
      <w:r w:rsidRPr="0022646E">
        <w:rPr>
          <w:color w:val="3F5664"/>
        </w:rPr>
        <w:t xml:space="preserve"> include: </w:t>
      </w:r>
    </w:p>
    <w:p w14:paraId="0D368006" w14:textId="77777777" w:rsidR="0022646E" w:rsidRPr="0022646E" w:rsidRDefault="0022646E" w:rsidP="0022646E">
      <w:pPr>
        <w:pStyle w:val="Default"/>
        <w:numPr>
          <w:ilvl w:val="0"/>
          <w:numId w:val="7"/>
        </w:numPr>
        <w:spacing w:line="276" w:lineRule="auto"/>
        <w:ind w:left="426" w:right="-619"/>
        <w:rPr>
          <w:color w:val="3F5664"/>
        </w:rPr>
      </w:pPr>
      <w:r w:rsidRPr="0022646E">
        <w:rPr>
          <w:color w:val="3F5664"/>
        </w:rPr>
        <w:t xml:space="preserve">Advancing age </w:t>
      </w:r>
    </w:p>
    <w:p w14:paraId="7EDA2DCF" w14:textId="77777777" w:rsidR="0022646E" w:rsidRPr="0022646E" w:rsidRDefault="0022646E" w:rsidP="0022646E">
      <w:pPr>
        <w:pStyle w:val="Default"/>
        <w:numPr>
          <w:ilvl w:val="0"/>
          <w:numId w:val="7"/>
        </w:numPr>
        <w:spacing w:line="276" w:lineRule="auto"/>
        <w:ind w:left="426" w:right="-619"/>
        <w:rPr>
          <w:color w:val="3F5664"/>
        </w:rPr>
      </w:pPr>
      <w:r w:rsidRPr="0022646E">
        <w:rPr>
          <w:color w:val="3F5664"/>
        </w:rPr>
        <w:t xml:space="preserve">Dementia </w:t>
      </w:r>
    </w:p>
    <w:p w14:paraId="131C50EB" w14:textId="77777777" w:rsidR="0022646E" w:rsidRPr="0022646E" w:rsidRDefault="0022646E" w:rsidP="0022646E">
      <w:pPr>
        <w:pStyle w:val="Default"/>
        <w:numPr>
          <w:ilvl w:val="0"/>
          <w:numId w:val="7"/>
        </w:numPr>
        <w:spacing w:line="276" w:lineRule="auto"/>
        <w:ind w:left="426" w:right="-619"/>
        <w:rPr>
          <w:color w:val="3F5664"/>
        </w:rPr>
      </w:pPr>
      <w:r w:rsidRPr="0022646E">
        <w:rPr>
          <w:color w:val="3F5664"/>
        </w:rPr>
        <w:t xml:space="preserve">Hip </w:t>
      </w:r>
      <w:proofErr w:type="gramStart"/>
      <w:r w:rsidRPr="0022646E">
        <w:rPr>
          <w:color w:val="3F5664"/>
        </w:rPr>
        <w:t>fracture</w:t>
      </w:r>
      <w:proofErr w:type="gramEnd"/>
      <w:r w:rsidRPr="0022646E">
        <w:rPr>
          <w:color w:val="3F5664"/>
        </w:rPr>
        <w:t xml:space="preserve"> </w:t>
      </w:r>
    </w:p>
    <w:p w14:paraId="4058FE72" w14:textId="77777777" w:rsidR="0022646E" w:rsidRPr="0022646E" w:rsidRDefault="0022646E" w:rsidP="0022646E">
      <w:pPr>
        <w:pStyle w:val="Default"/>
        <w:numPr>
          <w:ilvl w:val="0"/>
          <w:numId w:val="7"/>
        </w:numPr>
        <w:spacing w:line="276" w:lineRule="auto"/>
        <w:ind w:left="426" w:right="-619"/>
        <w:rPr>
          <w:color w:val="3F5664"/>
        </w:rPr>
      </w:pPr>
      <w:r w:rsidRPr="0022646E">
        <w:rPr>
          <w:color w:val="3F5664"/>
        </w:rPr>
        <w:t xml:space="preserve">Previous history of delirium </w:t>
      </w:r>
    </w:p>
    <w:p w14:paraId="3126224C" w14:textId="77777777" w:rsidR="0022646E" w:rsidRPr="0022646E" w:rsidRDefault="0022646E" w:rsidP="0022646E">
      <w:pPr>
        <w:pStyle w:val="Default"/>
        <w:numPr>
          <w:ilvl w:val="0"/>
          <w:numId w:val="7"/>
        </w:numPr>
        <w:spacing w:line="276" w:lineRule="auto"/>
        <w:ind w:left="426" w:right="-619"/>
        <w:rPr>
          <w:color w:val="3F5664"/>
        </w:rPr>
      </w:pPr>
      <w:r w:rsidRPr="0022646E">
        <w:rPr>
          <w:color w:val="3F5664"/>
        </w:rPr>
        <w:t xml:space="preserve">Multiple co-morbidities </w:t>
      </w:r>
    </w:p>
    <w:p w14:paraId="1EFE9102" w14:textId="77777777" w:rsidR="0022646E" w:rsidRPr="0022646E" w:rsidRDefault="0022646E" w:rsidP="0022646E">
      <w:pPr>
        <w:pStyle w:val="Default"/>
        <w:numPr>
          <w:ilvl w:val="0"/>
          <w:numId w:val="7"/>
        </w:numPr>
        <w:spacing w:line="276" w:lineRule="auto"/>
        <w:ind w:left="426" w:right="-619"/>
        <w:rPr>
          <w:color w:val="3F5664"/>
        </w:rPr>
      </w:pPr>
      <w:r w:rsidRPr="0022646E">
        <w:rPr>
          <w:color w:val="3F5664"/>
        </w:rPr>
        <w:t>Polypharmacy</w:t>
      </w:r>
    </w:p>
    <w:p w14:paraId="270DB393" w14:textId="77777777" w:rsidR="0022646E" w:rsidRPr="0022646E" w:rsidRDefault="0022646E" w:rsidP="0022646E">
      <w:pPr>
        <w:pStyle w:val="Default"/>
        <w:spacing w:line="276" w:lineRule="auto"/>
        <w:ind w:right="-619"/>
        <w:rPr>
          <w:color w:val="3F5664"/>
        </w:rPr>
      </w:pPr>
    </w:p>
    <w:p w14:paraId="53AECA92" w14:textId="77777777" w:rsidR="0022646E" w:rsidRPr="0022646E" w:rsidRDefault="0022646E" w:rsidP="0022646E">
      <w:pPr>
        <w:pStyle w:val="Default"/>
        <w:spacing w:line="276" w:lineRule="auto"/>
        <w:ind w:right="-619"/>
        <w:rPr>
          <w:color w:val="3F5664"/>
        </w:rPr>
      </w:pPr>
      <w:r w:rsidRPr="0022646E">
        <w:rPr>
          <w:color w:val="3F5664"/>
        </w:rPr>
        <w:t xml:space="preserve">In high-risk groups, it is important to take steps to both </w:t>
      </w:r>
      <w:r w:rsidRPr="0022646E">
        <w:rPr>
          <w:b/>
          <w:bCs/>
          <w:color w:val="3F5664"/>
        </w:rPr>
        <w:t>prevent delirium</w:t>
      </w:r>
      <w:r w:rsidRPr="0022646E">
        <w:rPr>
          <w:color w:val="3F5664"/>
        </w:rPr>
        <w:t xml:space="preserve"> developing in the first place, which include: </w:t>
      </w:r>
    </w:p>
    <w:p w14:paraId="739E1768"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Pain management </w:t>
      </w:r>
    </w:p>
    <w:p w14:paraId="12F4DEDB"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Management of constipation, avoidance of urinary catheters </w:t>
      </w:r>
    </w:p>
    <w:p w14:paraId="57162497"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lastRenderedPageBreak/>
        <w:t xml:space="preserve">Support with nutrition and hydration </w:t>
      </w:r>
    </w:p>
    <w:p w14:paraId="07869511"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Promoting sleep hygiene </w:t>
      </w:r>
    </w:p>
    <w:p w14:paraId="51116958"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Medication review </w:t>
      </w:r>
    </w:p>
    <w:p w14:paraId="24032957"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Provision of sensory aids (glasses and hearing aids) </w:t>
      </w:r>
    </w:p>
    <w:p w14:paraId="2855B650"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Early mobilisation </w:t>
      </w:r>
    </w:p>
    <w:p w14:paraId="7B3FEE61" w14:textId="77777777" w:rsidR="0022646E" w:rsidRPr="0022646E" w:rsidRDefault="0022646E" w:rsidP="0022646E">
      <w:pPr>
        <w:pStyle w:val="Default"/>
        <w:numPr>
          <w:ilvl w:val="3"/>
          <w:numId w:val="8"/>
        </w:numPr>
        <w:spacing w:line="276" w:lineRule="auto"/>
        <w:ind w:left="567" w:right="-619"/>
        <w:rPr>
          <w:color w:val="3F5664"/>
        </w:rPr>
      </w:pPr>
      <w:r w:rsidRPr="0022646E">
        <w:rPr>
          <w:color w:val="3F5664"/>
        </w:rPr>
        <w:t xml:space="preserve">Environmental considerations e.g., noise, consistent staffing, avoid unnecessary ward </w:t>
      </w:r>
      <w:proofErr w:type="gramStart"/>
      <w:r w:rsidRPr="0022646E">
        <w:rPr>
          <w:color w:val="3F5664"/>
        </w:rPr>
        <w:t>moves</w:t>
      </w:r>
      <w:proofErr w:type="gramEnd"/>
    </w:p>
    <w:p w14:paraId="5EA8FED7" w14:textId="77777777" w:rsidR="0022646E" w:rsidRPr="0022646E" w:rsidRDefault="0022646E" w:rsidP="0022646E">
      <w:pPr>
        <w:spacing w:line="276" w:lineRule="auto"/>
        <w:ind w:right="-619"/>
        <w:rPr>
          <w:rFonts w:ascii="Arial" w:hAnsi="Arial" w:cs="Arial"/>
          <w:color w:val="425563"/>
        </w:rPr>
      </w:pPr>
      <w:r w:rsidRPr="0022646E">
        <w:rPr>
          <w:rFonts w:ascii="Arial" w:hAnsi="Arial" w:cs="Arial"/>
          <w:color w:val="425563"/>
        </w:rPr>
        <w:t>This document and the other key documents and optional resources listed below can be accessed via the Dementia United website</w:t>
      </w:r>
      <w:r w:rsidRPr="0022646E">
        <w:rPr>
          <w:rStyle w:val="CommentReference"/>
          <w:rFonts w:ascii="Arial" w:hAnsi="Arial" w:cs="Arial"/>
          <w:color w:val="425563"/>
        </w:rPr>
        <w:t xml:space="preserve"> </w:t>
      </w:r>
      <w:hyperlink r:id="rId31" w:history="1">
        <w:r w:rsidRPr="0022646E">
          <w:rPr>
            <w:rStyle w:val="Hyperlink"/>
            <w:rFonts w:cs="Arial"/>
          </w:rPr>
          <w:t>www.dementia-united.org.uk/greater-manchester-hospital-delirium-toolkit</w:t>
        </w:r>
      </w:hyperlink>
      <w:r w:rsidRPr="0022646E">
        <w:rPr>
          <w:rStyle w:val="Hyperlink"/>
          <w:rFonts w:cs="Arial"/>
          <w:color w:val="425563"/>
        </w:rPr>
        <w:t xml:space="preserve"> </w:t>
      </w:r>
    </w:p>
    <w:p w14:paraId="144564D6" w14:textId="77777777" w:rsidR="0022646E" w:rsidRPr="0022646E" w:rsidRDefault="0022646E" w:rsidP="0022646E">
      <w:pPr>
        <w:spacing w:line="276" w:lineRule="auto"/>
        <w:ind w:right="-619"/>
        <w:rPr>
          <w:rFonts w:ascii="Arial" w:eastAsiaTheme="minorEastAsia" w:hAnsi="Arial" w:cs="Arial"/>
          <w:color w:val="3F5664"/>
        </w:rPr>
      </w:pPr>
    </w:p>
    <w:p w14:paraId="453A1A58" w14:textId="77777777" w:rsidR="0022646E" w:rsidRPr="0022646E" w:rsidRDefault="0022646E" w:rsidP="0022646E">
      <w:pPr>
        <w:spacing w:line="276" w:lineRule="auto"/>
        <w:ind w:right="-619"/>
        <w:rPr>
          <w:rFonts w:ascii="Arial" w:hAnsi="Arial" w:cs="Arial"/>
          <w:color w:val="425563"/>
        </w:rPr>
      </w:pPr>
      <w:r w:rsidRPr="0022646E">
        <w:rPr>
          <w:rFonts w:ascii="Arial" w:eastAsiaTheme="minorEastAsia" w:hAnsi="Arial" w:cs="Arial"/>
          <w:color w:val="3F5664"/>
        </w:rPr>
        <w:t xml:space="preserve">This guidance forms part of the </w:t>
      </w:r>
      <w:r w:rsidRPr="0022646E">
        <w:rPr>
          <w:rFonts w:ascii="Arial" w:eastAsiaTheme="minorEastAsia" w:hAnsi="Arial" w:cs="Arial"/>
          <w:b/>
          <w:bCs/>
          <w:color w:val="3F5664"/>
        </w:rPr>
        <w:t>M</w:t>
      </w:r>
      <w:r w:rsidRPr="0022646E">
        <w:rPr>
          <w:rFonts w:ascii="Arial" w:eastAsiaTheme="minorEastAsia" w:hAnsi="Arial" w:cs="Arial"/>
          <w:color w:val="3F5664"/>
        </w:rPr>
        <w:t xml:space="preserve">anagement and </w:t>
      </w:r>
      <w:r w:rsidRPr="0022646E">
        <w:rPr>
          <w:rFonts w:ascii="Arial" w:eastAsiaTheme="minorEastAsia" w:hAnsi="Arial" w:cs="Arial"/>
          <w:b/>
          <w:bCs/>
          <w:color w:val="3F5664"/>
        </w:rPr>
        <w:t>E</w:t>
      </w:r>
      <w:r w:rsidRPr="0022646E">
        <w:rPr>
          <w:rFonts w:ascii="Arial" w:eastAsiaTheme="minorEastAsia" w:hAnsi="Arial" w:cs="Arial"/>
          <w:color w:val="3F5664"/>
        </w:rPr>
        <w:t xml:space="preserve">ngagement component of the TIME bundle; within the Greater Manchester Hospital Delirium Toolkit. It is not intended to be exhaustive of all medical management and engagement aspects, when supporting someone with delirium. We recognise that not all the guidance will apply. It sits alongside the </w:t>
      </w:r>
      <w:r w:rsidRPr="0022646E">
        <w:rPr>
          <w:rFonts w:ascii="Arial" w:hAnsi="Arial" w:cs="Arial"/>
          <w:color w:val="425563"/>
        </w:rPr>
        <w:t xml:space="preserve">Greater Manchester hospital delirium management and engagement guidance –for non-medical teams (Key Document </w:t>
      </w:r>
      <w:proofErr w:type="spellStart"/>
      <w:r w:rsidRPr="0022646E">
        <w:rPr>
          <w:rFonts w:ascii="Arial" w:hAnsi="Arial" w:cs="Arial"/>
          <w:color w:val="425563"/>
        </w:rPr>
        <w:t>4b</w:t>
      </w:r>
      <w:proofErr w:type="spellEnd"/>
      <w:r w:rsidRPr="0022646E">
        <w:rPr>
          <w:rFonts w:ascii="Arial" w:hAnsi="Arial" w:cs="Arial"/>
          <w:color w:val="425563"/>
        </w:rPr>
        <w:t xml:space="preserve"> of the </w:t>
      </w:r>
      <w:hyperlink r:id="rId32" w:history="1">
        <w:r w:rsidRPr="0022646E">
          <w:rPr>
            <w:rStyle w:val="Hyperlink"/>
          </w:rPr>
          <w:t>hospital delirium toolkit</w:t>
        </w:r>
      </w:hyperlink>
      <w:r w:rsidRPr="0022646E">
        <w:rPr>
          <w:rFonts w:ascii="Arial" w:hAnsi="Arial" w:cs="Arial"/>
          <w:color w:val="425563"/>
        </w:rPr>
        <w:t>)</w:t>
      </w:r>
      <w:r w:rsidRPr="0022646E">
        <w:rPr>
          <w:rStyle w:val="EndnoteReference"/>
          <w:rFonts w:ascii="Arial" w:hAnsi="Arial" w:cs="Arial"/>
          <w:color w:val="425563"/>
        </w:rPr>
        <w:endnoteReference w:id="19"/>
      </w:r>
      <w:r w:rsidRPr="0022646E">
        <w:rPr>
          <w:rFonts w:ascii="Arial" w:hAnsi="Arial" w:cs="Arial"/>
          <w:color w:val="425563"/>
        </w:rPr>
        <w:t xml:space="preserve"> </w:t>
      </w:r>
      <w:r w:rsidRPr="0022646E">
        <w:rPr>
          <w:rFonts w:ascii="Arial" w:eastAsiaTheme="minorEastAsia" w:hAnsi="Arial" w:cs="Arial"/>
          <w:color w:val="3F5664"/>
        </w:rPr>
        <w:t xml:space="preserve">which has a more nursing and person-centred care focus. </w:t>
      </w:r>
    </w:p>
    <w:p w14:paraId="61116913" w14:textId="77777777" w:rsidR="0022646E" w:rsidRPr="0022646E" w:rsidRDefault="0022646E" w:rsidP="0022646E">
      <w:pPr>
        <w:spacing w:line="276" w:lineRule="auto"/>
        <w:ind w:right="-619"/>
        <w:rPr>
          <w:rFonts w:ascii="Arial" w:eastAsiaTheme="minorEastAsia" w:hAnsi="Arial" w:cs="Arial"/>
          <w:color w:val="3F5664"/>
        </w:rPr>
      </w:pPr>
    </w:p>
    <w:p w14:paraId="73F8E633" w14:textId="77777777" w:rsidR="0022646E" w:rsidRPr="0022646E" w:rsidRDefault="0022646E" w:rsidP="0022646E">
      <w:pPr>
        <w:spacing w:line="276" w:lineRule="auto"/>
        <w:ind w:right="-619"/>
        <w:rPr>
          <w:rFonts w:ascii="Arial" w:eastAsiaTheme="minorEastAsia" w:hAnsi="Arial" w:cs="Arial"/>
          <w:color w:val="3F5664"/>
        </w:rPr>
      </w:pPr>
      <w:r w:rsidRPr="0022646E">
        <w:rPr>
          <w:rFonts w:ascii="Arial" w:eastAsiaTheme="minorEastAsia" w:hAnsi="Arial" w:cs="Arial"/>
          <w:color w:val="3F5664"/>
        </w:rPr>
        <w:t>We anticipate that you will be using this as a guide as a point of reference to consider and return to. This will assist with systematically considering and eliminating aspects and will help to formulate a standardised approach to management.</w:t>
      </w:r>
    </w:p>
    <w:p w14:paraId="2665AFC4" w14:textId="77777777" w:rsidR="0022646E" w:rsidRDefault="0022646E">
      <w:pPr>
        <w:rPr>
          <w:rFonts w:ascii="Arial" w:hAnsi="Arial" w:cs="Arial"/>
        </w:rPr>
      </w:pPr>
    </w:p>
    <w:p w14:paraId="2614B74A" w14:textId="77777777" w:rsidR="0022646E" w:rsidRPr="00AE5C84" w:rsidRDefault="0022646E" w:rsidP="0022646E">
      <w:pPr>
        <w:spacing w:after="160" w:line="259" w:lineRule="auto"/>
        <w:rPr>
          <w:b/>
          <w:bCs/>
          <w:color w:val="B04D98"/>
          <w:sz w:val="52"/>
          <w:szCs w:val="48"/>
        </w:rPr>
      </w:pPr>
      <w:r w:rsidRPr="00AE5C84">
        <w:rPr>
          <w:b/>
          <w:bCs/>
          <w:color w:val="B04D98"/>
          <w:sz w:val="52"/>
          <w:szCs w:val="48"/>
        </w:rPr>
        <w:t>GET IN TOUCH</w:t>
      </w:r>
    </w:p>
    <w:p w14:paraId="596C07A1" w14:textId="77777777" w:rsidR="005A5EE8" w:rsidRPr="00EC7681" w:rsidRDefault="005A5EE8" w:rsidP="005A5EE8">
      <w:pPr>
        <w:spacing w:line="360" w:lineRule="auto"/>
        <w:rPr>
          <w:rFonts w:ascii="Arial" w:eastAsia="Calibri" w:hAnsi="Arial" w:cs="Arial"/>
          <w:bCs/>
          <w:color w:val="3E5F73"/>
        </w:rPr>
      </w:pPr>
      <w:r w:rsidRPr="00EC7681">
        <w:rPr>
          <w:rFonts w:ascii="Arial" w:eastAsia="Calibri" w:hAnsi="Arial" w:cs="Arial"/>
          <w:b/>
          <w:color w:val="3E5F73"/>
        </w:rPr>
        <w:t xml:space="preserve">Email: </w:t>
      </w:r>
      <w:hyperlink r:id="rId33" w:history="1">
        <w:r w:rsidRPr="00EC7681">
          <w:rPr>
            <w:rStyle w:val="Hyperlink"/>
            <w:rFonts w:cs="Arial"/>
          </w:rPr>
          <w:t>gmhscp.dementiaunited@nhs.net</w:t>
        </w:r>
      </w:hyperlink>
    </w:p>
    <w:p w14:paraId="25784F7D" w14:textId="77777777" w:rsidR="005A5EE8" w:rsidRPr="00EC7681" w:rsidRDefault="005A5EE8" w:rsidP="005A5EE8">
      <w:pPr>
        <w:spacing w:line="360" w:lineRule="auto"/>
        <w:rPr>
          <w:rFonts w:ascii="Arial" w:hAnsi="Arial" w:cs="Arial"/>
          <w:color w:val="3E5F73"/>
        </w:rPr>
      </w:pPr>
      <w:r w:rsidRPr="00EC7681">
        <w:rPr>
          <w:rFonts w:ascii="Arial" w:hAnsi="Arial" w:cs="Arial"/>
          <w:b/>
          <w:bCs/>
          <w:color w:val="3E5F73"/>
        </w:rPr>
        <w:t xml:space="preserve">Website: </w:t>
      </w:r>
      <w:hyperlink r:id="rId34" w:history="1">
        <w:r w:rsidRPr="00EC7681">
          <w:rPr>
            <w:rFonts w:ascii="Arial" w:hAnsi="Arial" w:cs="Arial"/>
            <w:color w:val="0000FF"/>
            <w:u w:val="single"/>
          </w:rPr>
          <w:t>www.dementia-united.org.uk</w:t>
        </w:r>
      </w:hyperlink>
    </w:p>
    <w:p w14:paraId="5411F573" w14:textId="77777777" w:rsidR="005A5EE8" w:rsidRPr="00EC7681" w:rsidRDefault="005A5EE8" w:rsidP="005A5EE8">
      <w:pPr>
        <w:spacing w:line="360" w:lineRule="auto"/>
        <w:rPr>
          <w:rFonts w:ascii="Arial" w:eastAsia="Calibri" w:hAnsi="Arial" w:cs="Arial"/>
          <w:noProof/>
          <w:color w:val="3E5F73"/>
        </w:rPr>
      </w:pPr>
      <w:r w:rsidRPr="00EC7681">
        <w:rPr>
          <w:rFonts w:ascii="Arial" w:eastAsia="Calibri" w:hAnsi="Arial" w:cs="Arial"/>
          <w:b/>
          <w:bCs/>
          <w:noProof/>
          <w:color w:val="3E5F73"/>
        </w:rPr>
        <w:t>X</w:t>
      </w:r>
      <w:r w:rsidRPr="00EC7681">
        <w:rPr>
          <w:rFonts w:ascii="Arial" w:eastAsia="Calibri" w:hAnsi="Arial" w:cs="Arial"/>
          <w:b/>
          <w:bCs/>
          <w:noProof/>
          <w:color w:val="3E5F73"/>
        </w:rPr>
        <w:tab/>
        <w:t xml:space="preserve">       </w:t>
      </w:r>
      <w:r w:rsidRPr="00EC7681">
        <w:rPr>
          <w:rFonts w:ascii="Arial" w:eastAsia="Calibri" w:hAnsi="Arial" w:cs="Arial"/>
          <w:b/>
          <w:bCs/>
          <w:noProof/>
          <w:color w:val="3E5F73"/>
          <w:lang w:val="en-US"/>
        </w:rPr>
        <w:tab/>
      </w:r>
      <w:r w:rsidRPr="00EC7681">
        <w:rPr>
          <w:rFonts w:ascii="Arial" w:eastAsia="Calibri" w:hAnsi="Arial" w:cs="Arial"/>
          <w:noProof/>
          <w:color w:val="3E5F73"/>
        </w:rPr>
        <w:t>@GM_HSC</w:t>
      </w:r>
    </w:p>
    <w:p w14:paraId="79B7ADC0" w14:textId="77777777" w:rsidR="005A5EE8" w:rsidRPr="00EC7681" w:rsidRDefault="005A5EE8" w:rsidP="005A5EE8">
      <w:pPr>
        <w:spacing w:line="360" w:lineRule="auto"/>
        <w:rPr>
          <w:rFonts w:ascii="Arial" w:hAnsi="Arial" w:cs="Arial"/>
        </w:rPr>
      </w:pPr>
      <w:r w:rsidRPr="00EC7681">
        <w:rPr>
          <w:rFonts w:ascii="Arial" w:eastAsia="Calibri" w:hAnsi="Arial" w:cs="Arial"/>
          <w:b/>
          <w:bCs/>
          <w:noProof/>
          <w:color w:val="3E5F73"/>
        </w:rPr>
        <w:t xml:space="preserve">Facebook </w:t>
      </w:r>
      <w:r w:rsidRPr="00EC7681">
        <w:rPr>
          <w:rFonts w:ascii="Arial" w:eastAsia="Calibri" w:hAnsi="Arial" w:cs="Arial"/>
          <w:b/>
          <w:bCs/>
          <w:noProof/>
          <w:color w:val="3E5F73"/>
          <w:lang w:val="en-US"/>
        </w:rPr>
        <w:tab/>
      </w:r>
      <w:hyperlink r:id="rId35" w:history="1">
        <w:r w:rsidRPr="001B704D">
          <w:rPr>
            <w:rStyle w:val="Hyperlink"/>
            <w:rFonts w:eastAsia="Calibri" w:cs="Arial"/>
            <w:noProof/>
          </w:rPr>
          <w:t>www.facebook.com/NHSGreaterManchester</w:t>
        </w:r>
      </w:hyperlink>
      <w:r>
        <w:rPr>
          <w:rFonts w:ascii="Arial" w:eastAsia="Calibri" w:hAnsi="Arial" w:cs="Arial"/>
          <w:noProof/>
          <w:color w:val="3E5F73"/>
        </w:rPr>
        <w:t xml:space="preserve"> </w:t>
      </w:r>
    </w:p>
    <w:p w14:paraId="16919909" w14:textId="77777777" w:rsidR="005A5EE8" w:rsidRDefault="005A5EE8" w:rsidP="005A5EE8">
      <w:pPr>
        <w:spacing w:line="360" w:lineRule="auto"/>
        <w:rPr>
          <w:rFonts w:ascii="Arial" w:hAnsi="Arial" w:cs="Arial"/>
        </w:rPr>
      </w:pPr>
      <w:r>
        <w:rPr>
          <w:rFonts w:ascii="Arial" w:hAnsi="Arial" w:cs="Arial"/>
        </w:rPr>
        <w:br w:type="page"/>
      </w:r>
    </w:p>
    <w:p w14:paraId="483A59A3" w14:textId="64AC25CA" w:rsidR="0022646E" w:rsidRDefault="0022646E">
      <w:pPr>
        <w:rPr>
          <w:rFonts w:ascii="Arial" w:hAnsi="Arial" w:cs="Arial"/>
        </w:rPr>
      </w:pPr>
    </w:p>
    <w:p w14:paraId="2C9AFDD0" w14:textId="77777777" w:rsidR="00E719BB" w:rsidRPr="0022646E" w:rsidRDefault="00E719BB" w:rsidP="0022646E">
      <w:pPr>
        <w:spacing w:line="276" w:lineRule="auto"/>
        <w:ind w:right="-619"/>
        <w:rPr>
          <w:rFonts w:ascii="Arial" w:hAnsi="Arial" w:cs="Arial"/>
        </w:rPr>
      </w:pPr>
    </w:p>
    <w:sectPr w:rsidR="00E719BB" w:rsidRPr="0022646E" w:rsidSect="009F2DFC">
      <w:headerReference w:type="default" r:id="rId36"/>
      <w:footerReference w:type="even" r:id="rId37"/>
      <w:footerReference w:type="default" r:id="rId38"/>
      <w:pgSz w:w="11900" w:h="16840"/>
      <w:pgMar w:top="288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3906" w14:textId="77777777" w:rsidR="002D61E4" w:rsidRDefault="002D61E4" w:rsidP="00AA06B1">
      <w:r>
        <w:separator/>
      </w:r>
    </w:p>
  </w:endnote>
  <w:endnote w:type="continuationSeparator" w:id="0">
    <w:p w14:paraId="573493FC" w14:textId="77777777" w:rsidR="002D61E4" w:rsidRDefault="002D61E4" w:rsidP="00AA06B1">
      <w:r>
        <w:continuationSeparator/>
      </w:r>
    </w:p>
  </w:endnote>
  <w:endnote w:id="1">
    <w:p w14:paraId="1FA76A2F" w14:textId="77777777" w:rsidR="0022646E" w:rsidRDefault="0022646E" w:rsidP="0022646E">
      <w:pPr>
        <w:pStyle w:val="Heading1-darkblue"/>
      </w:pPr>
      <w:r w:rsidRPr="00056F12">
        <w:t>List of full links to resources</w:t>
      </w:r>
    </w:p>
    <w:p w14:paraId="74A14737" w14:textId="77777777" w:rsidR="0022646E" w:rsidRPr="004A5F50" w:rsidRDefault="0022646E" w:rsidP="0022646E">
      <w:pPr>
        <w:pStyle w:val="Heading1-darkblue"/>
      </w:pPr>
    </w:p>
    <w:p w14:paraId="6A360762" w14:textId="77777777" w:rsidR="0022646E" w:rsidRPr="004A5F50" w:rsidRDefault="0022646E" w:rsidP="0022646E">
      <w:pPr>
        <w:spacing w:after="100" w:afterAutospacing="1"/>
        <w:contextualSpacing/>
      </w:pPr>
      <w:r w:rsidRPr="004A5F50">
        <w:rPr>
          <w:rStyle w:val="EndnoteReference"/>
        </w:rPr>
        <w:endnoteRef/>
      </w:r>
      <w:r w:rsidRPr="004A5F50">
        <w:t xml:space="preserve"> </w:t>
      </w:r>
      <w:r w:rsidRPr="004A5F50">
        <w:rPr>
          <w:b/>
          <w:bCs/>
        </w:rPr>
        <w:t>Greater Manchester hospital delirium management and engagement guidance –for non-medical teams (Key Document 4b)</w:t>
      </w:r>
      <w:r w:rsidRPr="004A5F50">
        <w:t xml:space="preserve"> </w:t>
      </w:r>
    </w:p>
    <w:p w14:paraId="35C624ED" w14:textId="77777777" w:rsidR="0022646E" w:rsidRPr="004A5F50" w:rsidRDefault="005A5EE8" w:rsidP="0022646E">
      <w:pPr>
        <w:spacing w:after="100" w:afterAutospacing="1"/>
        <w:contextualSpacing/>
      </w:pPr>
      <w:hyperlink r:id="rId1" w:history="1">
        <w:r w:rsidR="0022646E" w:rsidRPr="004A5F50">
          <w:rPr>
            <w:rStyle w:val="Hyperlink"/>
          </w:rPr>
          <w:t>www.dementia-united.org.uk/greater-manchester-hospital-delirium-toolkit</w:t>
        </w:r>
      </w:hyperlink>
    </w:p>
    <w:p w14:paraId="0D836846" w14:textId="77777777" w:rsidR="0022646E" w:rsidRPr="004A5F50" w:rsidRDefault="0022646E" w:rsidP="0022646E">
      <w:pPr>
        <w:spacing w:after="100" w:afterAutospacing="1"/>
        <w:contextualSpacing/>
      </w:pPr>
    </w:p>
  </w:endnote>
  <w:endnote w:id="2">
    <w:p w14:paraId="0544068C" w14:textId="77777777" w:rsidR="0022646E" w:rsidRPr="00074366" w:rsidRDefault="0022646E" w:rsidP="0022646E">
      <w:pPr>
        <w:pStyle w:val="EndnoteText"/>
        <w:spacing w:after="100" w:afterAutospacing="1"/>
        <w:contextualSpacing/>
        <w:rPr>
          <w:rFonts w:ascii="Arial" w:hAnsi="Arial" w:cs="Arial"/>
          <w:b/>
          <w:bCs/>
          <w:sz w:val="24"/>
          <w:szCs w:val="24"/>
        </w:rPr>
      </w:pPr>
      <w:r w:rsidRPr="00074366">
        <w:rPr>
          <w:rStyle w:val="EndnoteReference"/>
          <w:rFonts w:ascii="Arial" w:hAnsi="Arial" w:cs="Arial"/>
          <w:sz w:val="24"/>
          <w:szCs w:val="24"/>
        </w:rPr>
        <w:endnoteRef/>
      </w:r>
      <w:r w:rsidRPr="00074366">
        <w:rPr>
          <w:rFonts w:ascii="Arial" w:hAnsi="Arial" w:cs="Arial"/>
          <w:sz w:val="24"/>
          <w:szCs w:val="24"/>
        </w:rPr>
        <w:t xml:space="preserve"> </w:t>
      </w:r>
      <w:r w:rsidRPr="00074366">
        <w:rPr>
          <w:rFonts w:ascii="Arial" w:hAnsi="Arial" w:cs="Arial"/>
          <w:b/>
          <w:bCs/>
          <w:sz w:val="24"/>
          <w:szCs w:val="24"/>
        </w:rPr>
        <w:t>4 A’s Test for delirium screening (Key Document 2)</w:t>
      </w:r>
    </w:p>
    <w:p w14:paraId="1DBBD66B" w14:textId="77777777" w:rsidR="0022646E" w:rsidRPr="00074366" w:rsidRDefault="0022646E" w:rsidP="0022646E">
      <w:pPr>
        <w:pStyle w:val="EndnoteText"/>
        <w:spacing w:after="100" w:afterAutospacing="1"/>
        <w:contextualSpacing/>
        <w:rPr>
          <w:rStyle w:val="Hyperlink"/>
          <w:rFonts w:cs="Arial"/>
        </w:rPr>
      </w:pPr>
      <w:r w:rsidRPr="00074366">
        <w:rPr>
          <w:rStyle w:val="Hyperlink"/>
          <w:rFonts w:cs="Arial"/>
        </w:rPr>
        <w:t>www.dementia-united.org.uk/greater-manchester-hospital-delirium-toolkit</w:t>
      </w:r>
    </w:p>
    <w:p w14:paraId="4A1D8B21" w14:textId="77777777" w:rsidR="0022646E" w:rsidRDefault="0022646E" w:rsidP="0022646E">
      <w:pPr>
        <w:pStyle w:val="EndnoteText"/>
      </w:pPr>
    </w:p>
  </w:endnote>
  <w:endnote w:id="3">
    <w:p w14:paraId="6A6F5D08" w14:textId="77777777" w:rsidR="0022646E" w:rsidRDefault="0022646E" w:rsidP="0022646E">
      <w:pPr>
        <w:pStyle w:val="EndnoteText"/>
        <w:contextualSpacing/>
        <w:rPr>
          <w:rFonts w:ascii="Arial" w:eastAsia="Arial" w:hAnsi="Arial" w:cs="Arial"/>
          <w:b/>
          <w:bCs/>
          <w:color w:val="3F5664"/>
          <w:sz w:val="24"/>
        </w:rPr>
      </w:pPr>
      <w:r w:rsidRPr="00DF3A0E">
        <w:rPr>
          <w:rStyle w:val="EndnoteReference"/>
          <w:rFonts w:ascii="Arial" w:hAnsi="Arial" w:cs="Arial"/>
          <w:sz w:val="24"/>
          <w:szCs w:val="24"/>
        </w:rPr>
        <w:endnoteRef/>
      </w:r>
      <w:r w:rsidRPr="00DF3A0E">
        <w:rPr>
          <w:rFonts w:ascii="Arial" w:hAnsi="Arial" w:cs="Arial"/>
          <w:sz w:val="24"/>
          <w:szCs w:val="24"/>
        </w:rPr>
        <w:t xml:space="preserve"> </w:t>
      </w:r>
      <w:r w:rsidRPr="00DF3A0E">
        <w:rPr>
          <w:rFonts w:ascii="Arial" w:eastAsia="Arial" w:hAnsi="Arial" w:cs="Arial"/>
          <w:b/>
          <w:bCs/>
          <w:color w:val="3F5664"/>
          <w:sz w:val="24"/>
        </w:rPr>
        <w:t>Translated delirium resources - Dementia United</w:t>
      </w:r>
    </w:p>
    <w:p w14:paraId="4D50F943" w14:textId="5496855D" w:rsidR="0022646E" w:rsidRPr="00DF3A0E" w:rsidRDefault="005A5EE8" w:rsidP="0022646E">
      <w:pPr>
        <w:pStyle w:val="EndnoteText"/>
        <w:contextualSpacing/>
        <w:rPr>
          <w:rFonts w:ascii="Arial" w:eastAsia="Arial" w:hAnsi="Arial" w:cs="Arial"/>
          <w:color w:val="3F5664"/>
          <w:sz w:val="24"/>
        </w:rPr>
      </w:pPr>
      <w:hyperlink r:id="rId2" w:history="1">
        <w:r w:rsidR="0022646E" w:rsidRPr="001B704D">
          <w:rPr>
            <w:rStyle w:val="Hyperlink"/>
            <w:rFonts w:eastAsia="Arial" w:cs="Arial"/>
          </w:rPr>
          <w:t>www.dementia-united.org.uk/translated-delirium-resources</w:t>
        </w:r>
      </w:hyperlink>
      <w:r w:rsidR="0022646E">
        <w:rPr>
          <w:rFonts w:ascii="Arial" w:eastAsia="Arial" w:hAnsi="Arial" w:cs="Arial"/>
          <w:color w:val="0563C1"/>
          <w:sz w:val="24"/>
          <w:u w:val="single"/>
        </w:rPr>
        <w:t xml:space="preserve"> </w:t>
      </w:r>
    </w:p>
    <w:p w14:paraId="367754C2" w14:textId="77777777" w:rsidR="0022646E" w:rsidRDefault="0022646E" w:rsidP="0022646E">
      <w:pPr>
        <w:pStyle w:val="EndnoteText"/>
      </w:pPr>
    </w:p>
  </w:endnote>
  <w:endnote w:id="4">
    <w:p w14:paraId="1AFB7304" w14:textId="77777777" w:rsidR="0022646E" w:rsidRPr="001330F3" w:rsidRDefault="0022646E" w:rsidP="0022646E">
      <w:pPr>
        <w:pStyle w:val="EndnoteText"/>
        <w:spacing w:after="100" w:afterAutospacing="1"/>
        <w:contextualSpacing/>
        <w:rPr>
          <w:rFonts w:ascii="Arial" w:hAnsi="Arial" w:cs="Arial"/>
          <w:b/>
          <w:bCs/>
          <w:color w:val="3F5664"/>
          <w:sz w:val="24"/>
          <w:szCs w:val="24"/>
        </w:rPr>
      </w:pPr>
      <w:r>
        <w:rPr>
          <w:rStyle w:val="EndnoteReference"/>
        </w:rPr>
        <w:endnoteRef/>
      </w:r>
      <w:r>
        <w:t xml:space="preserve"> </w:t>
      </w:r>
      <w:r w:rsidRPr="00BF4292">
        <w:rPr>
          <w:rFonts w:ascii="Arial" w:eastAsiaTheme="minorEastAsia" w:hAnsi="Arial" w:cs="Arial"/>
          <w:b/>
          <w:bCs/>
          <w:color w:val="3F5664"/>
          <w:sz w:val="24"/>
          <w:szCs w:val="24"/>
        </w:rPr>
        <w:t>Greater Manchester hospital delirium TIME Bundle (Triggers, Investigations, Management, Engagement) (Key Document 3)</w:t>
      </w:r>
    </w:p>
    <w:p w14:paraId="3B782071" w14:textId="77777777" w:rsidR="0022646E" w:rsidRPr="0022646E" w:rsidRDefault="0022646E" w:rsidP="0022646E">
      <w:pPr>
        <w:pStyle w:val="EndnoteText"/>
        <w:contextualSpacing/>
        <w:rPr>
          <w:rStyle w:val="Hyperlink"/>
        </w:rPr>
      </w:pPr>
      <w:r w:rsidRPr="0022646E">
        <w:rPr>
          <w:rStyle w:val="Hyperlink"/>
        </w:rPr>
        <w:t>www.dementia-united.org.uk/greater-manchester-hospital-delirium-toolkit</w:t>
      </w:r>
    </w:p>
    <w:p w14:paraId="0A816D8A" w14:textId="77777777" w:rsidR="0022646E" w:rsidRDefault="0022646E" w:rsidP="0022646E">
      <w:pPr>
        <w:pStyle w:val="EndnoteText"/>
      </w:pPr>
    </w:p>
  </w:endnote>
  <w:endnote w:id="5">
    <w:p w14:paraId="2253FC7C" w14:textId="4310271B" w:rsidR="0022646E" w:rsidRDefault="0022646E" w:rsidP="0022646E">
      <w:pPr>
        <w:pStyle w:val="EndnoteText"/>
        <w:spacing w:after="100" w:afterAutospacing="1"/>
        <w:contextualSpacing/>
        <w:rPr>
          <w:rFonts w:ascii="Arial" w:hAnsi="Arial" w:cs="Arial"/>
          <w:color w:val="425563"/>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6D18DC">
        <w:rPr>
          <w:rFonts w:ascii="Arial" w:hAnsi="Arial" w:cs="Arial"/>
          <w:b/>
          <w:bCs/>
          <w:color w:val="425563"/>
          <w:sz w:val="24"/>
          <w:szCs w:val="24"/>
        </w:rPr>
        <w:t>Hints and tips for anticholinergic burden (ACB) medication reviews</w:t>
      </w:r>
      <w:r w:rsidRPr="006D18DC">
        <w:rPr>
          <w:rFonts w:ascii="Arial" w:hAnsi="Arial" w:cs="Arial"/>
          <w:b/>
          <w:bCs/>
          <w:color w:val="425563"/>
          <w:sz w:val="24"/>
          <w:szCs w:val="24"/>
        </w:rPr>
        <w:cr/>
      </w:r>
      <w:hyperlink r:id="rId3" w:history="1">
        <w:r w:rsidRPr="001B704D">
          <w:rPr>
            <w:rStyle w:val="Hyperlink"/>
            <w:rFonts w:cs="Arial"/>
            <w:szCs w:val="24"/>
          </w:rPr>
          <w:t>www.hweclinicalguidance.nhs.uk/all-clinical-areas-documents/download?cid=1491&amp;checksum=226d1f15ecd35f784d2a20c3ecf56d7f</w:t>
        </w:r>
      </w:hyperlink>
    </w:p>
    <w:p w14:paraId="0B09E11D" w14:textId="77777777" w:rsidR="0022646E" w:rsidRPr="004A5F50" w:rsidRDefault="0022646E" w:rsidP="0022646E">
      <w:pPr>
        <w:pStyle w:val="EndnoteText"/>
        <w:spacing w:after="100" w:afterAutospacing="1"/>
        <w:contextualSpacing/>
        <w:rPr>
          <w:rFonts w:ascii="Arial" w:hAnsi="Arial" w:cs="Arial"/>
          <w:color w:val="3F5664"/>
          <w:sz w:val="24"/>
          <w:szCs w:val="24"/>
        </w:rPr>
      </w:pPr>
    </w:p>
    <w:p w14:paraId="150DD4A1"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6">
    <w:p w14:paraId="4EA2D5B7" w14:textId="77777777" w:rsidR="0022646E" w:rsidRPr="004A5F50" w:rsidRDefault="0022646E" w:rsidP="0022646E">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ACB Calculator</w:t>
      </w:r>
      <w:r w:rsidRPr="004A5F50">
        <w:rPr>
          <w:rFonts w:ascii="Arial" w:hAnsi="Arial" w:cs="Arial"/>
          <w:color w:val="3F5664"/>
          <w:sz w:val="24"/>
          <w:szCs w:val="24"/>
        </w:rPr>
        <w:t xml:space="preserve"> </w:t>
      </w:r>
    </w:p>
    <w:p w14:paraId="57EDB448" w14:textId="77777777" w:rsidR="0022646E" w:rsidRPr="004A5F50" w:rsidRDefault="005A5EE8" w:rsidP="0022646E">
      <w:pPr>
        <w:pStyle w:val="EndnoteText"/>
        <w:spacing w:after="100" w:afterAutospacing="1"/>
        <w:contextualSpacing/>
        <w:rPr>
          <w:rFonts w:ascii="Arial" w:hAnsi="Arial" w:cs="Arial"/>
          <w:color w:val="3F5664"/>
          <w:sz w:val="24"/>
          <w:szCs w:val="24"/>
        </w:rPr>
      </w:pPr>
      <w:hyperlink r:id="rId4" w:history="1">
        <w:r w:rsidR="0022646E" w:rsidRPr="004A5F50">
          <w:rPr>
            <w:rStyle w:val="Hyperlink"/>
            <w:rFonts w:cs="Arial"/>
            <w:szCs w:val="24"/>
          </w:rPr>
          <w:t>www.acbcalc.com</w:t>
        </w:r>
      </w:hyperlink>
    </w:p>
    <w:p w14:paraId="552A1016"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7">
    <w:p w14:paraId="49B80557" w14:textId="77777777" w:rsidR="0022646E" w:rsidRPr="0022646E" w:rsidRDefault="0022646E" w:rsidP="0022646E">
      <w:pPr>
        <w:spacing w:after="100" w:afterAutospacing="1"/>
        <w:contextualSpacing/>
        <w:rPr>
          <w:rFonts w:ascii="Arial" w:hAnsi="Arial" w:cs="Arial"/>
          <w:color w:val="3E5F73"/>
        </w:rPr>
      </w:pPr>
      <w:r w:rsidRPr="0022646E">
        <w:rPr>
          <w:rStyle w:val="EndnoteReference"/>
          <w:rFonts w:ascii="Arial" w:hAnsi="Arial" w:cs="Arial"/>
          <w:color w:val="3E5F73"/>
        </w:rPr>
        <w:endnoteRef/>
      </w:r>
      <w:r w:rsidRPr="0022646E">
        <w:rPr>
          <w:rFonts w:ascii="Arial" w:hAnsi="Arial" w:cs="Arial"/>
          <w:color w:val="3E5F73"/>
        </w:rPr>
        <w:t xml:space="preserve"> </w:t>
      </w:r>
      <w:r w:rsidRPr="0022646E">
        <w:rPr>
          <w:rFonts w:ascii="Arial" w:hAnsi="Arial" w:cs="Arial"/>
          <w:b/>
          <w:bCs/>
          <w:color w:val="3E5F73"/>
        </w:rPr>
        <w:t>Greater Manchester hospital delirium management and engagement guidance –for non-medical teams (Key Document 4b)</w:t>
      </w:r>
      <w:r w:rsidRPr="0022646E">
        <w:rPr>
          <w:rFonts w:ascii="Arial" w:hAnsi="Arial" w:cs="Arial"/>
          <w:color w:val="3E5F73"/>
        </w:rPr>
        <w:t xml:space="preserve"> </w:t>
      </w:r>
    </w:p>
    <w:p w14:paraId="33B1C348" w14:textId="77777777" w:rsidR="0022646E" w:rsidRPr="0022646E" w:rsidRDefault="005A5EE8" w:rsidP="0022646E">
      <w:pPr>
        <w:spacing w:after="100" w:afterAutospacing="1"/>
        <w:contextualSpacing/>
        <w:rPr>
          <w:rFonts w:ascii="Arial" w:hAnsi="Arial" w:cs="Arial"/>
        </w:rPr>
      </w:pPr>
      <w:hyperlink r:id="rId5" w:history="1">
        <w:r w:rsidR="0022646E" w:rsidRPr="0022646E">
          <w:rPr>
            <w:rStyle w:val="Hyperlink"/>
            <w:rFonts w:cs="Arial"/>
          </w:rPr>
          <w:t>www.dementia-united.org.uk/greater-manchester-hospital-delirium-toolkit</w:t>
        </w:r>
      </w:hyperlink>
    </w:p>
    <w:p w14:paraId="459D717B" w14:textId="77777777" w:rsidR="0022646E" w:rsidRPr="0022646E" w:rsidRDefault="0022646E" w:rsidP="0022646E">
      <w:pPr>
        <w:spacing w:after="100" w:afterAutospacing="1"/>
        <w:contextualSpacing/>
        <w:rPr>
          <w:rFonts w:ascii="Arial" w:hAnsi="Arial" w:cs="Arial"/>
        </w:rPr>
      </w:pPr>
    </w:p>
  </w:endnote>
  <w:endnote w:id="8">
    <w:p w14:paraId="44174ABC" w14:textId="77777777" w:rsidR="0022646E" w:rsidRPr="0022646E" w:rsidRDefault="0022646E" w:rsidP="0022646E">
      <w:pPr>
        <w:pStyle w:val="EndnoteText"/>
        <w:spacing w:after="100" w:afterAutospacing="1"/>
        <w:contextualSpacing/>
        <w:rPr>
          <w:rFonts w:ascii="Arial" w:hAnsi="Arial" w:cs="Arial"/>
          <w:color w:val="3F5664"/>
          <w:sz w:val="24"/>
          <w:szCs w:val="24"/>
        </w:rPr>
      </w:pPr>
      <w:r w:rsidRPr="0022646E">
        <w:rPr>
          <w:rStyle w:val="EndnoteReference"/>
          <w:rFonts w:ascii="Arial" w:hAnsi="Arial" w:cs="Arial"/>
          <w:color w:val="3F5664"/>
          <w:sz w:val="24"/>
          <w:szCs w:val="24"/>
        </w:rPr>
        <w:endnoteRef/>
      </w:r>
      <w:r w:rsidRPr="0022646E">
        <w:rPr>
          <w:rFonts w:ascii="Arial" w:hAnsi="Arial" w:cs="Arial"/>
          <w:color w:val="3F5664"/>
          <w:sz w:val="24"/>
          <w:szCs w:val="24"/>
        </w:rPr>
        <w:t xml:space="preserve"> </w:t>
      </w:r>
      <w:r w:rsidRPr="0022646E">
        <w:rPr>
          <w:rFonts w:ascii="Arial" w:hAnsi="Arial" w:cs="Arial"/>
          <w:b/>
          <w:bCs/>
          <w:color w:val="3F5664"/>
          <w:sz w:val="24"/>
          <w:szCs w:val="24"/>
        </w:rPr>
        <w:t>MCA: Assessing capacity | SCIE</w:t>
      </w:r>
      <w:r w:rsidRPr="0022646E">
        <w:rPr>
          <w:rFonts w:ascii="Arial" w:hAnsi="Arial" w:cs="Arial"/>
          <w:color w:val="3F5664"/>
          <w:sz w:val="24"/>
          <w:szCs w:val="24"/>
        </w:rPr>
        <w:t xml:space="preserve"> </w:t>
      </w:r>
    </w:p>
    <w:p w14:paraId="4C9AD9F9" w14:textId="77777777" w:rsidR="0022646E" w:rsidRPr="0022646E" w:rsidRDefault="005A5EE8" w:rsidP="0022646E">
      <w:pPr>
        <w:pStyle w:val="EndnoteText"/>
        <w:spacing w:after="100" w:afterAutospacing="1"/>
        <w:contextualSpacing/>
        <w:rPr>
          <w:rFonts w:ascii="Arial" w:hAnsi="Arial" w:cs="Arial"/>
          <w:color w:val="3F5664"/>
          <w:sz w:val="24"/>
          <w:szCs w:val="24"/>
        </w:rPr>
      </w:pPr>
      <w:hyperlink r:id="rId6" w:history="1">
        <w:r w:rsidR="0022646E" w:rsidRPr="0022646E">
          <w:rPr>
            <w:rStyle w:val="Hyperlink"/>
            <w:rFonts w:cs="Arial"/>
            <w:szCs w:val="24"/>
          </w:rPr>
          <w:t>www.scie.org.uk/mca/practice/assessing-capacity</w:t>
        </w:r>
      </w:hyperlink>
    </w:p>
    <w:p w14:paraId="6BA910D4" w14:textId="77777777" w:rsidR="0022646E" w:rsidRPr="0022646E" w:rsidRDefault="0022646E" w:rsidP="0022646E">
      <w:pPr>
        <w:pStyle w:val="EndnoteText"/>
        <w:spacing w:after="100" w:afterAutospacing="1"/>
        <w:contextualSpacing/>
        <w:rPr>
          <w:rFonts w:ascii="Arial" w:hAnsi="Arial" w:cs="Arial"/>
          <w:color w:val="3F5664"/>
          <w:sz w:val="24"/>
          <w:szCs w:val="24"/>
        </w:rPr>
      </w:pPr>
    </w:p>
    <w:p w14:paraId="4FF77A05" w14:textId="77777777" w:rsidR="0022646E" w:rsidRPr="0022646E" w:rsidRDefault="0022646E" w:rsidP="0022646E">
      <w:pPr>
        <w:pStyle w:val="EndnoteText"/>
        <w:spacing w:after="100" w:afterAutospacing="1"/>
        <w:contextualSpacing/>
        <w:rPr>
          <w:rFonts w:ascii="Arial" w:hAnsi="Arial" w:cs="Arial"/>
          <w:color w:val="3F5664"/>
          <w:sz w:val="24"/>
          <w:szCs w:val="24"/>
        </w:rPr>
      </w:pPr>
    </w:p>
  </w:endnote>
  <w:endnote w:id="9">
    <w:p w14:paraId="6410E5F6" w14:textId="77777777" w:rsidR="0022646E" w:rsidRPr="0022646E" w:rsidRDefault="0022646E" w:rsidP="0022646E">
      <w:pPr>
        <w:pStyle w:val="EndnoteText"/>
        <w:spacing w:after="100" w:afterAutospacing="1"/>
        <w:contextualSpacing/>
        <w:rPr>
          <w:rFonts w:ascii="Arial" w:hAnsi="Arial" w:cs="Arial"/>
          <w:color w:val="3F5664"/>
          <w:sz w:val="24"/>
          <w:szCs w:val="24"/>
        </w:rPr>
      </w:pPr>
      <w:r w:rsidRPr="0022646E">
        <w:rPr>
          <w:rStyle w:val="EndnoteReference"/>
          <w:rFonts w:ascii="Arial" w:hAnsi="Arial" w:cs="Arial"/>
          <w:color w:val="3F5664"/>
          <w:sz w:val="24"/>
          <w:szCs w:val="24"/>
        </w:rPr>
        <w:endnoteRef/>
      </w:r>
      <w:r w:rsidRPr="0022646E">
        <w:rPr>
          <w:rFonts w:ascii="Arial" w:hAnsi="Arial" w:cs="Arial"/>
          <w:color w:val="3F5664"/>
          <w:sz w:val="24"/>
          <w:szCs w:val="24"/>
        </w:rPr>
        <w:t xml:space="preserve"> </w:t>
      </w:r>
      <w:r w:rsidRPr="0022646E">
        <w:rPr>
          <w:rFonts w:ascii="Arial" w:hAnsi="Arial" w:cs="Arial"/>
          <w:b/>
          <w:bCs/>
          <w:color w:val="3F5664"/>
          <w:sz w:val="24"/>
          <w:szCs w:val="24"/>
        </w:rPr>
        <w:t>Mental Capacity - Dementia United</w:t>
      </w:r>
      <w:r w:rsidRPr="0022646E">
        <w:rPr>
          <w:rFonts w:ascii="Arial" w:hAnsi="Arial" w:cs="Arial"/>
          <w:color w:val="3F5664"/>
          <w:sz w:val="24"/>
          <w:szCs w:val="24"/>
        </w:rPr>
        <w:t xml:space="preserve"> </w:t>
      </w:r>
    </w:p>
    <w:p w14:paraId="7752E787" w14:textId="77777777" w:rsidR="0022646E" w:rsidRPr="0022646E" w:rsidRDefault="005A5EE8" w:rsidP="0022646E">
      <w:pPr>
        <w:pStyle w:val="EndnoteText"/>
        <w:spacing w:after="100" w:afterAutospacing="1"/>
        <w:contextualSpacing/>
        <w:rPr>
          <w:rFonts w:ascii="Arial" w:hAnsi="Arial" w:cs="Arial"/>
          <w:color w:val="3F5664"/>
          <w:sz w:val="24"/>
          <w:szCs w:val="24"/>
        </w:rPr>
      </w:pPr>
      <w:hyperlink r:id="rId7" w:history="1">
        <w:r w:rsidR="0022646E" w:rsidRPr="0022646E">
          <w:rPr>
            <w:rStyle w:val="Hyperlink"/>
            <w:rFonts w:cs="Arial"/>
            <w:szCs w:val="24"/>
          </w:rPr>
          <w:t>www.dementia-united.org.uk/mental-capacity</w:t>
        </w:r>
      </w:hyperlink>
    </w:p>
  </w:endnote>
  <w:endnote w:id="10">
    <w:p w14:paraId="42892C17" w14:textId="77777777" w:rsidR="0022646E" w:rsidRPr="004A5F50" w:rsidRDefault="0022646E" w:rsidP="0022646E">
      <w:pPr>
        <w:pStyle w:val="EndnoteText"/>
        <w:spacing w:after="100" w:afterAutospacing="1"/>
        <w:rPr>
          <w:rFonts w:ascii="Arial" w:hAnsi="Arial" w:cs="Arial"/>
          <w:color w:val="3F5664"/>
          <w:sz w:val="24"/>
          <w:szCs w:val="24"/>
        </w:rPr>
      </w:pPr>
    </w:p>
    <w:p w14:paraId="236D468C" w14:textId="77777777" w:rsidR="0022646E" w:rsidRPr="004A5F50" w:rsidRDefault="0022646E" w:rsidP="0022646E">
      <w:pPr>
        <w:pStyle w:val="EndnoteText"/>
        <w:spacing w:after="100" w:afterAutospacing="1"/>
        <w:rPr>
          <w:rStyle w:val="Hyperlink"/>
          <w:rFonts w:cs="Arial"/>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Mental capacity act - Making decisions: a guide for people who work in health and social care</w:t>
      </w:r>
      <w:r w:rsidRPr="004A5F50">
        <w:rPr>
          <w:rFonts w:ascii="Arial" w:hAnsi="Arial" w:cs="Arial"/>
          <w:color w:val="3F5664"/>
          <w:sz w:val="24"/>
          <w:szCs w:val="24"/>
        </w:rPr>
        <w:t xml:space="preserve"> </w:t>
      </w:r>
      <w:hyperlink r:id="rId8" w:history="1">
        <w:r w:rsidRPr="004A5F50">
          <w:rPr>
            <w:rStyle w:val="Hyperlink"/>
            <w:rFonts w:cs="Arial"/>
            <w:szCs w:val="24"/>
          </w:rPr>
          <w:t>www.ouh.nhs.uk/patient-guide/safeguarding/documents/health-workers-guide.pdf</w:t>
        </w:r>
      </w:hyperlink>
    </w:p>
    <w:p w14:paraId="32383AAF" w14:textId="77777777" w:rsidR="0022646E" w:rsidRPr="004A5F50" w:rsidRDefault="0022646E" w:rsidP="0022646E">
      <w:pPr>
        <w:pStyle w:val="EndnoteText"/>
        <w:spacing w:after="100" w:afterAutospacing="1"/>
        <w:contextualSpacing/>
        <w:rPr>
          <w:rFonts w:ascii="Arial" w:hAnsi="Arial" w:cs="Arial"/>
          <w:b/>
          <w:bCs/>
          <w:color w:val="3F5664"/>
          <w:sz w:val="24"/>
          <w:szCs w:val="24"/>
        </w:rPr>
      </w:pPr>
    </w:p>
  </w:endnote>
  <w:endnote w:id="11">
    <w:p w14:paraId="32300C8A" w14:textId="77777777" w:rsidR="0022646E" w:rsidRPr="004A5F50" w:rsidRDefault="0022646E" w:rsidP="0022646E">
      <w:pPr>
        <w:pStyle w:val="EndnoteText"/>
        <w:spacing w:after="100" w:afterAutospacing="1"/>
        <w:contextualSpacing/>
        <w:rPr>
          <w:rStyle w:val="Hyperlink"/>
          <w:rFonts w:cs="Arial"/>
          <w:szCs w:val="24"/>
        </w:rPr>
      </w:pPr>
      <w:r w:rsidRPr="004A5F50">
        <w:rPr>
          <w:rStyle w:val="EndnoteReference"/>
          <w:rFonts w:ascii="Arial" w:hAnsi="Arial" w:cs="Arial"/>
          <w:color w:val="3F5664"/>
          <w:sz w:val="24"/>
          <w:szCs w:val="24"/>
        </w:rPr>
        <w:endnoteRef/>
      </w:r>
      <w:r w:rsidRPr="004A5F50">
        <w:rPr>
          <w:rFonts w:ascii="Arial" w:hAnsi="Arial" w:cs="Arial"/>
          <w:b/>
          <w:bCs/>
          <w:color w:val="3F5664"/>
          <w:sz w:val="24"/>
          <w:szCs w:val="24"/>
        </w:rPr>
        <w:t xml:space="preserve"> Mental capacity act - Making decisions about your health, welfare or finances. Who decides when you can’t </w:t>
      </w:r>
      <w:hyperlink r:id="rId9" w:history="1">
        <w:r w:rsidRPr="004A5F50">
          <w:rPr>
            <w:rStyle w:val="Hyperlink"/>
            <w:rFonts w:cs="Arial"/>
            <w:szCs w:val="24"/>
          </w:rPr>
          <w:t>https://assets.publishing.service.gov.uk/government/uploads/system/uploads/attachment_data/file/365631/making_decisions-opg601.pdf</w:t>
        </w:r>
      </w:hyperlink>
    </w:p>
    <w:p w14:paraId="785DD01D" w14:textId="77777777" w:rsidR="0022646E" w:rsidRPr="004A5F50" w:rsidRDefault="0022646E" w:rsidP="0022646E">
      <w:pPr>
        <w:pStyle w:val="EndnoteText"/>
        <w:spacing w:after="100" w:afterAutospacing="1"/>
        <w:contextualSpacing/>
        <w:rPr>
          <w:rFonts w:ascii="Arial" w:hAnsi="Arial" w:cs="Arial"/>
          <w:color w:val="5B9BD5" w:themeColor="accent5"/>
          <w:sz w:val="24"/>
          <w:szCs w:val="24"/>
          <w:u w:val="single"/>
        </w:rPr>
      </w:pPr>
    </w:p>
  </w:endnote>
  <w:endnote w:id="12">
    <w:p w14:paraId="4205DB67" w14:textId="77777777" w:rsidR="0022646E" w:rsidRPr="004A5F50" w:rsidRDefault="0022646E" w:rsidP="0022646E">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 xml:space="preserve">Making decisions: a guide for family, friends, and other unpaid carers </w:t>
      </w:r>
    </w:p>
    <w:p w14:paraId="75BEC36D" w14:textId="7012F62E" w:rsidR="0022646E" w:rsidRPr="004A5F50" w:rsidRDefault="005A5EE8" w:rsidP="0022646E">
      <w:pPr>
        <w:pStyle w:val="EndnoteText"/>
        <w:spacing w:after="100" w:afterAutospacing="1"/>
        <w:contextualSpacing/>
        <w:rPr>
          <w:rFonts w:ascii="Arial" w:hAnsi="Arial" w:cs="Arial"/>
          <w:color w:val="3F5664"/>
          <w:sz w:val="24"/>
          <w:szCs w:val="24"/>
        </w:rPr>
      </w:pPr>
      <w:hyperlink r:id="rId10" w:history="1">
        <w:r w:rsidR="0022646E" w:rsidRPr="001B704D">
          <w:rPr>
            <w:rStyle w:val="Hyperlink"/>
            <w:rFonts w:cs="Arial"/>
            <w:szCs w:val="24"/>
          </w:rPr>
          <w:t>www.dementia-united.org.uk/wp-content/uploads/sites/4/2021/10/Making-decisions-A-Guide-for-family-friends-and-other-unpaid-carers.pdf</w:t>
        </w:r>
      </w:hyperlink>
    </w:p>
    <w:p w14:paraId="325C119A"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13">
    <w:p w14:paraId="111C1518" w14:textId="77777777" w:rsidR="0022646E" w:rsidRPr="004A5F50" w:rsidRDefault="0022646E" w:rsidP="0022646E">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 xml:space="preserve">BGS - End of Life Care in Frailty: Dementia </w:t>
      </w:r>
    </w:p>
    <w:p w14:paraId="7D61EC84" w14:textId="77777777" w:rsidR="0022646E" w:rsidRPr="004A5F50" w:rsidRDefault="005A5EE8" w:rsidP="0022646E">
      <w:pPr>
        <w:pStyle w:val="EndnoteText"/>
        <w:spacing w:after="100" w:afterAutospacing="1"/>
        <w:contextualSpacing/>
        <w:rPr>
          <w:rStyle w:val="Hyperlink"/>
          <w:rFonts w:cs="Arial"/>
          <w:szCs w:val="24"/>
        </w:rPr>
      </w:pPr>
      <w:hyperlink r:id="rId11" w:history="1">
        <w:r w:rsidR="0022646E" w:rsidRPr="004A5F50">
          <w:rPr>
            <w:rStyle w:val="Hyperlink"/>
            <w:rFonts w:cs="Arial"/>
            <w:szCs w:val="24"/>
          </w:rPr>
          <w:t>www.bgs.org.uk/resources/end-of-life-care-in-frailty-dementia</w:t>
        </w:r>
      </w:hyperlink>
    </w:p>
    <w:p w14:paraId="30BB8A00" w14:textId="77777777" w:rsidR="0022646E" w:rsidRPr="004A5F50" w:rsidRDefault="0022646E" w:rsidP="0022646E">
      <w:pPr>
        <w:pStyle w:val="EndnoteText"/>
        <w:spacing w:after="100" w:afterAutospacing="1"/>
        <w:contextualSpacing/>
        <w:rPr>
          <w:rStyle w:val="Hyperlink"/>
          <w:rFonts w:cs="Arial"/>
          <w:szCs w:val="24"/>
        </w:rPr>
      </w:pPr>
    </w:p>
    <w:p w14:paraId="25A9FA31"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14">
    <w:p w14:paraId="04EFFBA0" w14:textId="77777777" w:rsidR="0022646E" w:rsidRPr="004A5F50" w:rsidRDefault="0022646E" w:rsidP="0022646E">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 xml:space="preserve">BGS - End of Life Care in Frailty: Delirium </w:t>
      </w:r>
    </w:p>
    <w:p w14:paraId="0594EA17" w14:textId="77777777" w:rsidR="0022646E" w:rsidRPr="004A5F50" w:rsidRDefault="005A5EE8" w:rsidP="0022646E">
      <w:pPr>
        <w:pStyle w:val="EndnoteText"/>
        <w:spacing w:after="100" w:afterAutospacing="1"/>
        <w:contextualSpacing/>
        <w:rPr>
          <w:rStyle w:val="Hyperlink"/>
          <w:rFonts w:cs="Arial"/>
          <w:szCs w:val="24"/>
        </w:rPr>
      </w:pPr>
      <w:hyperlink r:id="rId12" w:history="1">
        <w:r w:rsidR="0022646E" w:rsidRPr="004A5F50">
          <w:rPr>
            <w:rStyle w:val="Hyperlink"/>
            <w:rFonts w:cs="Arial"/>
            <w:szCs w:val="24"/>
          </w:rPr>
          <w:t>www.bgs.org.uk/resources/end-of-life-care-in-frailty-delirium</w:t>
        </w:r>
      </w:hyperlink>
    </w:p>
    <w:p w14:paraId="3CE53A57" w14:textId="77777777" w:rsidR="0022646E" w:rsidRPr="004A5F50" w:rsidRDefault="0022646E" w:rsidP="0022646E">
      <w:pPr>
        <w:pStyle w:val="EndnoteText"/>
        <w:spacing w:after="100" w:afterAutospacing="1"/>
        <w:contextualSpacing/>
        <w:rPr>
          <w:rStyle w:val="Hyperlink"/>
          <w:rFonts w:cs="Arial"/>
          <w:szCs w:val="24"/>
        </w:rPr>
      </w:pPr>
    </w:p>
    <w:p w14:paraId="40FBE81C"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15">
    <w:p w14:paraId="1B043F1C" w14:textId="77777777" w:rsidR="0022646E" w:rsidRPr="004A5F50" w:rsidRDefault="0022646E" w:rsidP="0022646E">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 xml:space="preserve">BGS - End of Life Care in Frailty </w:t>
      </w:r>
    </w:p>
    <w:p w14:paraId="0CF5CCD9" w14:textId="1CA4BC88" w:rsidR="0022646E" w:rsidRPr="004A5F50" w:rsidRDefault="005A5EE8" w:rsidP="0022646E">
      <w:pPr>
        <w:pStyle w:val="EndnoteText"/>
        <w:spacing w:after="100" w:afterAutospacing="1"/>
        <w:contextualSpacing/>
        <w:rPr>
          <w:rFonts w:ascii="Arial" w:hAnsi="Arial" w:cs="Arial"/>
          <w:color w:val="3F5664"/>
          <w:sz w:val="24"/>
          <w:szCs w:val="24"/>
        </w:rPr>
      </w:pPr>
      <w:hyperlink r:id="rId13" w:history="1">
        <w:r w:rsidR="0022646E" w:rsidRPr="001B704D">
          <w:rPr>
            <w:rStyle w:val="Hyperlink"/>
            <w:rFonts w:cs="Arial"/>
            <w:szCs w:val="24"/>
          </w:rPr>
          <w:t>www.bgs.org.uk/resources/resource-series/end-of-life-care-in-frailty</w:t>
        </w:r>
      </w:hyperlink>
    </w:p>
  </w:endnote>
  <w:endnote w:id="16">
    <w:p w14:paraId="4CC052BC" w14:textId="77777777" w:rsidR="0022646E" w:rsidRPr="004A5F50" w:rsidRDefault="0022646E" w:rsidP="0022646E">
      <w:pPr>
        <w:pStyle w:val="EndnoteText"/>
        <w:spacing w:after="100" w:afterAutospacing="1"/>
        <w:contextualSpacing/>
        <w:rPr>
          <w:rFonts w:ascii="Arial" w:hAnsi="Arial" w:cs="Arial"/>
          <w:color w:val="3F5664"/>
          <w:sz w:val="24"/>
          <w:szCs w:val="24"/>
        </w:rPr>
      </w:pPr>
    </w:p>
    <w:p w14:paraId="0932CF17" w14:textId="77777777" w:rsidR="0022646E" w:rsidRPr="004A5F50" w:rsidRDefault="0022646E" w:rsidP="0022646E">
      <w:pPr>
        <w:pStyle w:val="EndnoteText"/>
        <w:spacing w:after="100" w:afterAutospacing="1"/>
        <w:contextualSpacing/>
        <w:rPr>
          <w:rFonts w:ascii="Arial" w:hAnsi="Arial" w:cs="Arial"/>
          <w:color w:val="3F5664"/>
          <w:sz w:val="24"/>
          <w:szCs w:val="24"/>
        </w:rPr>
      </w:pPr>
    </w:p>
    <w:p w14:paraId="7D3F6232" w14:textId="520E5C91" w:rsidR="0022646E" w:rsidRPr="004A5F50" w:rsidRDefault="0022646E" w:rsidP="0022646E">
      <w:pPr>
        <w:pStyle w:val="EndnoteText"/>
        <w:spacing w:after="100" w:afterAutospacing="1"/>
        <w:contextualSpacing/>
        <w:rPr>
          <w:rStyle w:val="Hyperlink"/>
          <w:rFonts w:cs="Arial"/>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 xml:space="preserve">UCL: Rules of Thumb </w:t>
      </w:r>
      <w:hyperlink r:id="rId14" w:history="1">
        <w:r w:rsidRPr="001B704D">
          <w:rPr>
            <w:rStyle w:val="Hyperlink"/>
            <w:rFonts w:cs="Arial"/>
            <w:szCs w:val="24"/>
          </w:rPr>
          <w:t>www.dementia-united.org.uk/wp-content/uploads/sites/4/2021/01/03-UCL-Rules-of-Thumb-Guide-v14.0_PRINT-version.pdf</w:t>
        </w:r>
      </w:hyperlink>
    </w:p>
    <w:p w14:paraId="03A704E4"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17">
    <w:p w14:paraId="39734185" w14:textId="77777777" w:rsidR="0022646E" w:rsidRPr="004A5F50" w:rsidRDefault="0022646E" w:rsidP="0022646E">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Greater Manchester delirium leaflet: long version</w:t>
      </w:r>
      <w:r w:rsidRPr="004A5F50">
        <w:rPr>
          <w:rFonts w:ascii="Arial" w:hAnsi="Arial" w:cs="Arial"/>
          <w:color w:val="3F5664"/>
          <w:sz w:val="24"/>
          <w:szCs w:val="24"/>
        </w:rPr>
        <w:t xml:space="preserve"> </w:t>
      </w:r>
    </w:p>
    <w:p w14:paraId="15A568FB" w14:textId="428F95A0" w:rsidR="0022646E" w:rsidRPr="004A5F50" w:rsidRDefault="005A5EE8" w:rsidP="0022646E">
      <w:pPr>
        <w:pStyle w:val="EndnoteText"/>
        <w:spacing w:after="100" w:afterAutospacing="1"/>
        <w:contextualSpacing/>
        <w:rPr>
          <w:rFonts w:ascii="Arial" w:hAnsi="Arial" w:cs="Arial"/>
          <w:color w:val="3F5664"/>
          <w:sz w:val="24"/>
          <w:szCs w:val="24"/>
        </w:rPr>
      </w:pPr>
      <w:hyperlink r:id="rId15" w:history="1">
        <w:r w:rsidR="0022646E" w:rsidRPr="001B704D">
          <w:rPr>
            <w:rStyle w:val="Hyperlink"/>
            <w:rFonts w:cs="Arial"/>
            <w:szCs w:val="24"/>
          </w:rPr>
          <w:t>www.dementia-united.org.uk/wp-content/uploads/sites/4/2023/08/Greater-Manchester-Delirium-Leaflet-Long-Version-June-2023.docx</w:t>
        </w:r>
      </w:hyperlink>
    </w:p>
    <w:p w14:paraId="05B91A9D" w14:textId="77777777" w:rsidR="0022646E" w:rsidRPr="004A5F50" w:rsidRDefault="0022646E" w:rsidP="0022646E">
      <w:pPr>
        <w:pStyle w:val="EndnoteText"/>
        <w:spacing w:after="100" w:afterAutospacing="1"/>
        <w:contextualSpacing/>
        <w:rPr>
          <w:rFonts w:ascii="Arial" w:hAnsi="Arial" w:cs="Arial"/>
          <w:color w:val="3F5664"/>
          <w:sz w:val="24"/>
          <w:szCs w:val="24"/>
        </w:rPr>
      </w:pPr>
    </w:p>
    <w:p w14:paraId="293E99B5" w14:textId="77777777" w:rsidR="0022646E" w:rsidRPr="004A5F50" w:rsidRDefault="0022646E" w:rsidP="0022646E">
      <w:pPr>
        <w:pStyle w:val="EndnoteText"/>
        <w:spacing w:after="100" w:afterAutospacing="1"/>
        <w:contextualSpacing/>
        <w:rPr>
          <w:rFonts w:ascii="Arial" w:hAnsi="Arial" w:cs="Arial"/>
          <w:color w:val="3F5664"/>
          <w:sz w:val="24"/>
          <w:szCs w:val="24"/>
        </w:rPr>
      </w:pPr>
    </w:p>
  </w:endnote>
  <w:endnote w:id="18">
    <w:p w14:paraId="619B6FB9" w14:textId="77777777" w:rsidR="0022646E" w:rsidRPr="004A5F50" w:rsidRDefault="0022646E" w:rsidP="0022646E">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Greater Manchester delirium leaflet: long version</w:t>
      </w:r>
      <w:r w:rsidRPr="004A5F50">
        <w:rPr>
          <w:rFonts w:ascii="Arial" w:hAnsi="Arial" w:cs="Arial"/>
          <w:color w:val="3F5664"/>
          <w:sz w:val="24"/>
          <w:szCs w:val="24"/>
        </w:rPr>
        <w:t xml:space="preserve"> </w:t>
      </w:r>
    </w:p>
    <w:p w14:paraId="2319E42D" w14:textId="7D93682A" w:rsidR="0022646E" w:rsidRPr="004A5F50" w:rsidRDefault="005A5EE8" w:rsidP="0022646E">
      <w:pPr>
        <w:pStyle w:val="EndnoteText"/>
        <w:spacing w:after="100" w:afterAutospacing="1"/>
        <w:contextualSpacing/>
        <w:rPr>
          <w:rFonts w:ascii="Arial" w:hAnsi="Arial" w:cs="Arial"/>
          <w:color w:val="3F5664"/>
          <w:sz w:val="24"/>
          <w:szCs w:val="24"/>
        </w:rPr>
      </w:pPr>
      <w:hyperlink r:id="rId16" w:history="1">
        <w:r w:rsidR="0022646E" w:rsidRPr="001B704D">
          <w:rPr>
            <w:rStyle w:val="Hyperlink"/>
            <w:rFonts w:cs="Arial"/>
            <w:szCs w:val="24"/>
          </w:rPr>
          <w:t>www.dementia-united.org.uk/wp-content/uploads/sites/4/2023/08/Greater-Manchester-Delirium-Leaflet-Long-Version-June-2023.docx</w:t>
        </w:r>
      </w:hyperlink>
    </w:p>
    <w:p w14:paraId="33534F44" w14:textId="77777777" w:rsidR="0022646E" w:rsidRPr="004A5F50" w:rsidRDefault="0022646E" w:rsidP="0022646E">
      <w:pPr>
        <w:pStyle w:val="EndnoteText"/>
        <w:spacing w:after="100" w:afterAutospacing="1"/>
        <w:contextualSpacing/>
        <w:rPr>
          <w:rFonts w:ascii="Arial" w:hAnsi="Arial" w:cs="Arial"/>
          <w:color w:val="3F5664"/>
          <w:sz w:val="24"/>
          <w:szCs w:val="24"/>
        </w:rPr>
      </w:pPr>
    </w:p>
    <w:p w14:paraId="1E14B108" w14:textId="77777777" w:rsidR="0022646E" w:rsidRPr="004A5F50" w:rsidRDefault="0022646E" w:rsidP="0022646E">
      <w:pPr>
        <w:pStyle w:val="EndnoteText"/>
        <w:spacing w:after="100" w:afterAutospacing="1"/>
        <w:contextualSpacing/>
        <w:rPr>
          <w:rFonts w:ascii="Arial" w:hAnsi="Arial" w:cs="Arial"/>
          <w:b/>
          <w:bCs/>
          <w:color w:val="3F5664"/>
          <w:sz w:val="24"/>
          <w:szCs w:val="24"/>
        </w:rPr>
      </w:pPr>
      <w:r w:rsidRPr="004A5F50">
        <w:rPr>
          <w:rFonts w:ascii="Arial" w:hAnsi="Arial" w:cs="Arial"/>
          <w:color w:val="3F5664"/>
          <w:sz w:val="24"/>
          <w:szCs w:val="24"/>
        </w:rPr>
        <w:br/>
      </w:r>
      <w:r w:rsidRPr="004A5F50">
        <w:rPr>
          <w:rFonts w:ascii="Arial" w:hAnsi="Arial" w:cs="Arial"/>
          <w:b/>
          <w:bCs/>
          <w:color w:val="3F5664"/>
          <w:sz w:val="24"/>
          <w:szCs w:val="24"/>
        </w:rPr>
        <w:t xml:space="preserve">Greater Manchester Delirium Leaflet: Short Version June </w:t>
      </w:r>
    </w:p>
    <w:p w14:paraId="79DEBA60" w14:textId="61ECBA5A" w:rsidR="0022646E" w:rsidRDefault="005A5EE8" w:rsidP="0022646E">
      <w:pPr>
        <w:pStyle w:val="EndnoteText"/>
        <w:spacing w:after="100" w:afterAutospacing="1"/>
        <w:contextualSpacing/>
      </w:pPr>
      <w:hyperlink r:id="rId17" w:history="1">
        <w:r w:rsidR="0022646E" w:rsidRPr="001B704D">
          <w:rPr>
            <w:rStyle w:val="Hyperlink"/>
            <w:rFonts w:cs="Arial"/>
            <w:szCs w:val="24"/>
          </w:rPr>
          <w:t>www.dementia-united.org.uk/wp-content/uploads/sites/4/2023/08/Greater-Manchester-Delirium-Leaflet-Short-Version-June-2023.docx</w:t>
        </w:r>
      </w:hyperlink>
    </w:p>
  </w:endnote>
  <w:endnote w:id="19">
    <w:p w14:paraId="62904F88" w14:textId="77777777" w:rsidR="0022646E" w:rsidRPr="004A5F50" w:rsidRDefault="0022646E" w:rsidP="0022646E">
      <w:pPr>
        <w:spacing w:after="100" w:afterAutospacing="1"/>
        <w:contextual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lte Haas Grotesk">
    <w:altName w:val="Calibri"/>
    <w:charset w:val="4D"/>
    <w:family w:val="auto"/>
    <w:pitch w:val="variable"/>
    <w:sig w:usb0="80000067" w:usb1="00000000" w:usb2="00000000" w:usb3="00000000" w:csb0="00000111" w:csb1="00000000"/>
  </w:font>
  <w:font w:name="Colfax">
    <w:altName w:val="Calibri"/>
    <w:panose1 w:val="00000000000000000000"/>
    <w:charset w:val="4D"/>
    <w:family w:val="auto"/>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768084"/>
      <w:docPartObj>
        <w:docPartGallery w:val="Page Numbers (Bottom of Page)"/>
        <w:docPartUnique/>
      </w:docPartObj>
    </w:sdtPr>
    <w:sdtEndPr>
      <w:rPr>
        <w:rStyle w:val="PageNumber"/>
      </w:rPr>
    </w:sdtEndPr>
    <w:sdtContent>
      <w:p w14:paraId="3EDF45DE" w14:textId="1087BC91" w:rsidR="00AA06B1" w:rsidRDefault="00AA06B1" w:rsidP="00982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ED8">
          <w:rPr>
            <w:rStyle w:val="PageNumber"/>
            <w:noProof/>
          </w:rPr>
          <w:t>1</w:t>
        </w:r>
        <w:r>
          <w:rPr>
            <w:rStyle w:val="PageNumber"/>
          </w:rPr>
          <w:fldChar w:fldCharType="end"/>
        </w:r>
      </w:p>
    </w:sdtContent>
  </w:sdt>
  <w:p w14:paraId="16881DBB" w14:textId="77777777" w:rsidR="00AA06B1" w:rsidRDefault="00AA06B1" w:rsidP="00AA0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lfax" w:hAnsi="Colfax"/>
        <w:sz w:val="18"/>
        <w:szCs w:val="18"/>
      </w:rPr>
      <w:id w:val="-1087533296"/>
      <w:docPartObj>
        <w:docPartGallery w:val="Page Numbers (Bottom of Page)"/>
        <w:docPartUnique/>
      </w:docPartObj>
    </w:sdtPr>
    <w:sdtEndPr>
      <w:rPr>
        <w:rStyle w:val="PageNumber"/>
      </w:rPr>
    </w:sdtEndPr>
    <w:sdtContent>
      <w:p w14:paraId="59E416EE" w14:textId="77777777" w:rsidR="00AA06B1" w:rsidRPr="00AA06B1" w:rsidRDefault="00AA06B1" w:rsidP="009826A4">
        <w:pPr>
          <w:pStyle w:val="Footer"/>
          <w:framePr w:wrap="none" w:vAnchor="text" w:hAnchor="margin" w:xAlign="right" w:y="1"/>
          <w:rPr>
            <w:rStyle w:val="PageNumber"/>
            <w:rFonts w:ascii="Colfax" w:hAnsi="Colfax"/>
            <w:sz w:val="18"/>
            <w:szCs w:val="18"/>
          </w:rPr>
        </w:pPr>
        <w:r w:rsidRPr="00AA06B1">
          <w:rPr>
            <w:rStyle w:val="PageNumber"/>
            <w:rFonts w:ascii="Colfax" w:hAnsi="Colfax"/>
            <w:sz w:val="18"/>
            <w:szCs w:val="18"/>
          </w:rPr>
          <w:fldChar w:fldCharType="begin"/>
        </w:r>
        <w:r w:rsidRPr="00AA06B1">
          <w:rPr>
            <w:rStyle w:val="PageNumber"/>
            <w:rFonts w:ascii="Colfax" w:hAnsi="Colfax"/>
            <w:sz w:val="18"/>
            <w:szCs w:val="18"/>
          </w:rPr>
          <w:instrText xml:space="preserve"> PAGE </w:instrText>
        </w:r>
        <w:r w:rsidRPr="00AA06B1">
          <w:rPr>
            <w:rStyle w:val="PageNumber"/>
            <w:rFonts w:ascii="Colfax" w:hAnsi="Colfax"/>
            <w:sz w:val="18"/>
            <w:szCs w:val="18"/>
          </w:rPr>
          <w:fldChar w:fldCharType="separate"/>
        </w:r>
        <w:r w:rsidRPr="00AA06B1">
          <w:rPr>
            <w:rStyle w:val="PageNumber"/>
            <w:rFonts w:ascii="Colfax" w:hAnsi="Colfax"/>
            <w:noProof/>
            <w:sz w:val="18"/>
            <w:szCs w:val="18"/>
          </w:rPr>
          <w:t>1</w:t>
        </w:r>
        <w:r w:rsidRPr="00AA06B1">
          <w:rPr>
            <w:rStyle w:val="PageNumber"/>
            <w:rFonts w:ascii="Colfax" w:hAnsi="Colfax"/>
            <w:sz w:val="18"/>
            <w:szCs w:val="18"/>
          </w:rPr>
          <w:fldChar w:fldCharType="end"/>
        </w:r>
      </w:p>
    </w:sdtContent>
  </w:sdt>
  <w:p w14:paraId="1E5090FD" w14:textId="15AC7BEB" w:rsidR="00AA06B1" w:rsidRPr="00367128" w:rsidRDefault="00AA06B1" w:rsidP="0022646E">
    <w:pPr>
      <w:pStyle w:val="Heading2"/>
      <w:rPr>
        <w:rFonts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C048" w14:textId="77777777" w:rsidR="002D61E4" w:rsidRDefault="002D61E4" w:rsidP="00AA06B1">
      <w:r>
        <w:separator/>
      </w:r>
    </w:p>
  </w:footnote>
  <w:footnote w:type="continuationSeparator" w:id="0">
    <w:p w14:paraId="5BE0EDED" w14:textId="77777777" w:rsidR="002D61E4" w:rsidRDefault="002D61E4" w:rsidP="00AA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4FE0" w14:textId="1C07F76F" w:rsidR="00FE2ED8" w:rsidRDefault="00FE2ED8">
    <w:pPr>
      <w:pStyle w:val="Header"/>
    </w:pPr>
    <w:r>
      <w:rPr>
        <w:noProof/>
      </w:rPr>
      <w:drawing>
        <wp:anchor distT="0" distB="0" distL="114300" distR="114300" simplePos="0" relativeHeight="251658240" behindDoc="0" locked="0" layoutInCell="1" allowOverlap="1" wp14:anchorId="157E667A" wp14:editId="52F60762">
          <wp:simplePos x="0" y="0"/>
          <wp:positionH relativeFrom="margin">
            <wp:posOffset>4648200</wp:posOffset>
          </wp:positionH>
          <wp:positionV relativeFrom="margin">
            <wp:posOffset>-1657985</wp:posOffset>
          </wp:positionV>
          <wp:extent cx="1557020" cy="143256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5E2"/>
    <w:multiLevelType w:val="hybridMultilevel"/>
    <w:tmpl w:val="81AE64B6"/>
    <w:lvl w:ilvl="0" w:tplc="772418D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F4DA3A"/>
    <w:multiLevelType w:val="hybridMultilevel"/>
    <w:tmpl w:val="18F868F4"/>
    <w:lvl w:ilvl="0" w:tplc="BAA26FC2">
      <w:start w:val="1"/>
      <w:numFmt w:val="decimal"/>
      <w:lvlText w:val="%1."/>
      <w:lvlJc w:val="left"/>
      <w:pPr>
        <w:ind w:left="720" w:hanging="360"/>
      </w:pPr>
    </w:lvl>
    <w:lvl w:ilvl="1" w:tplc="CEDA35FC">
      <w:start w:val="1"/>
      <w:numFmt w:val="lowerLetter"/>
      <w:lvlText w:val="%2."/>
      <w:lvlJc w:val="left"/>
      <w:pPr>
        <w:ind w:left="1440" w:hanging="360"/>
      </w:pPr>
    </w:lvl>
    <w:lvl w:ilvl="2" w:tplc="6EDE9320">
      <w:start w:val="1"/>
      <w:numFmt w:val="lowerRoman"/>
      <w:lvlText w:val="%3."/>
      <w:lvlJc w:val="right"/>
      <w:pPr>
        <w:ind w:left="2160" w:hanging="180"/>
      </w:pPr>
    </w:lvl>
    <w:lvl w:ilvl="3" w:tplc="9B7EE0F4">
      <w:start w:val="1"/>
      <w:numFmt w:val="decimal"/>
      <w:lvlText w:val="%4."/>
      <w:lvlJc w:val="left"/>
      <w:pPr>
        <w:ind w:left="2880" w:hanging="360"/>
      </w:pPr>
    </w:lvl>
    <w:lvl w:ilvl="4" w:tplc="97D2CFAE">
      <w:start w:val="1"/>
      <w:numFmt w:val="lowerLetter"/>
      <w:lvlText w:val="%5."/>
      <w:lvlJc w:val="left"/>
      <w:pPr>
        <w:ind w:left="3600" w:hanging="360"/>
      </w:pPr>
    </w:lvl>
    <w:lvl w:ilvl="5" w:tplc="BD8C42B6">
      <w:start w:val="1"/>
      <w:numFmt w:val="lowerRoman"/>
      <w:lvlText w:val="%6."/>
      <w:lvlJc w:val="right"/>
      <w:pPr>
        <w:ind w:left="4320" w:hanging="180"/>
      </w:pPr>
    </w:lvl>
    <w:lvl w:ilvl="6" w:tplc="B52A7FDA">
      <w:start w:val="1"/>
      <w:numFmt w:val="decimal"/>
      <w:lvlText w:val="%7."/>
      <w:lvlJc w:val="left"/>
      <w:pPr>
        <w:ind w:left="5040" w:hanging="360"/>
      </w:pPr>
    </w:lvl>
    <w:lvl w:ilvl="7" w:tplc="64FA312A">
      <w:start w:val="1"/>
      <w:numFmt w:val="lowerLetter"/>
      <w:lvlText w:val="%8."/>
      <w:lvlJc w:val="left"/>
      <w:pPr>
        <w:ind w:left="5760" w:hanging="360"/>
      </w:pPr>
    </w:lvl>
    <w:lvl w:ilvl="8" w:tplc="71B0F35A">
      <w:start w:val="1"/>
      <w:numFmt w:val="lowerRoman"/>
      <w:lvlText w:val="%9."/>
      <w:lvlJc w:val="right"/>
      <w:pPr>
        <w:ind w:left="6480" w:hanging="180"/>
      </w:pPr>
    </w:lvl>
  </w:abstractNum>
  <w:abstractNum w:abstractNumId="2" w15:restartNumberingAfterBreak="0">
    <w:nsid w:val="29E97DAE"/>
    <w:multiLevelType w:val="hybridMultilevel"/>
    <w:tmpl w:val="873ED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62AF1"/>
    <w:multiLevelType w:val="hybridMultilevel"/>
    <w:tmpl w:val="54A803D8"/>
    <w:lvl w:ilvl="0" w:tplc="318C38B4">
      <w:start w:val="1"/>
      <w:numFmt w:val="bullet"/>
      <w:lvlText w:val=""/>
      <w:lvlJc w:val="left"/>
      <w:pPr>
        <w:ind w:left="720" w:hanging="360"/>
      </w:pPr>
      <w:rPr>
        <w:rFonts w:ascii="Symbol" w:hAnsi="Symbol" w:hint="default"/>
        <w:color w:val="3F566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825DC"/>
    <w:multiLevelType w:val="hybridMultilevel"/>
    <w:tmpl w:val="33F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D096C"/>
    <w:multiLevelType w:val="hybridMultilevel"/>
    <w:tmpl w:val="44BE8C94"/>
    <w:lvl w:ilvl="0" w:tplc="318C38B4">
      <w:start w:val="1"/>
      <w:numFmt w:val="bullet"/>
      <w:lvlText w:val=""/>
      <w:lvlJc w:val="left"/>
      <w:pPr>
        <w:ind w:left="2520" w:hanging="360"/>
      </w:pPr>
      <w:rPr>
        <w:rFonts w:ascii="Symbol" w:hAnsi="Symbol" w:hint="default"/>
        <w:color w:val="3F5664"/>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52E60AC7"/>
    <w:multiLevelType w:val="hybridMultilevel"/>
    <w:tmpl w:val="669E1738"/>
    <w:lvl w:ilvl="0" w:tplc="08090001">
      <w:start w:val="1"/>
      <w:numFmt w:val="bullet"/>
      <w:lvlText w:val=""/>
      <w:lvlJc w:val="left"/>
      <w:pPr>
        <w:ind w:left="360" w:hanging="360"/>
      </w:pPr>
      <w:rPr>
        <w:rFonts w:ascii="Symbol" w:hAnsi="Symbol" w:hint="default"/>
      </w:rPr>
    </w:lvl>
    <w:lvl w:ilvl="1" w:tplc="D42C5CA8">
      <w:numFmt w:val="bullet"/>
      <w:lvlText w:val="•"/>
      <w:lvlJc w:val="left"/>
      <w:pPr>
        <w:ind w:left="1080" w:hanging="360"/>
      </w:pPr>
      <w:rPr>
        <w:rFonts w:ascii="Arial" w:eastAsiaTheme="minorHAnsi" w:hAnsi="Arial" w:cs="Arial" w:hint="default"/>
        <w:b w:val="0"/>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6614A5"/>
    <w:multiLevelType w:val="hybridMultilevel"/>
    <w:tmpl w:val="76040A66"/>
    <w:lvl w:ilvl="0" w:tplc="318C38B4">
      <w:start w:val="1"/>
      <w:numFmt w:val="bullet"/>
      <w:lvlText w:val=""/>
      <w:lvlJc w:val="left"/>
      <w:pPr>
        <w:ind w:left="360" w:hanging="360"/>
      </w:pPr>
      <w:rPr>
        <w:rFonts w:ascii="Symbol" w:hAnsi="Symbol" w:hint="default"/>
        <w:color w:val="3F566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8D847B5C">
      <w:numFmt w:val="bullet"/>
      <w:lvlText w:val="•"/>
      <w:lvlJc w:val="left"/>
      <w:pPr>
        <w:ind w:left="2520" w:hanging="360"/>
      </w:pPr>
      <w:rPr>
        <w:rFonts w:ascii="Arial" w:eastAsiaTheme="minorHAns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664139"/>
    <w:multiLevelType w:val="hybridMultilevel"/>
    <w:tmpl w:val="C4BE3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772418D2">
      <w:start w:val="1"/>
      <w:numFmt w:val="bullet"/>
      <w:lvlText w:val="-"/>
      <w:lvlJc w:val="left"/>
      <w:pPr>
        <w:ind w:left="1800" w:hanging="360"/>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0733810">
    <w:abstractNumId w:val="7"/>
  </w:num>
  <w:num w:numId="2" w16cid:durableId="1679457117">
    <w:abstractNumId w:val="2"/>
  </w:num>
  <w:num w:numId="3" w16cid:durableId="1860583452">
    <w:abstractNumId w:val="6"/>
  </w:num>
  <w:num w:numId="4" w16cid:durableId="991182425">
    <w:abstractNumId w:val="4"/>
  </w:num>
  <w:num w:numId="5" w16cid:durableId="349572989">
    <w:abstractNumId w:val="0"/>
  </w:num>
  <w:num w:numId="6" w16cid:durableId="1861238555">
    <w:abstractNumId w:val="8"/>
  </w:num>
  <w:num w:numId="7" w16cid:durableId="1095440477">
    <w:abstractNumId w:val="5"/>
  </w:num>
  <w:num w:numId="8" w16cid:durableId="1401636244">
    <w:abstractNumId w:val="3"/>
  </w:num>
  <w:num w:numId="9" w16cid:durableId="10901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1"/>
    <w:rsid w:val="0022646E"/>
    <w:rsid w:val="002D61E4"/>
    <w:rsid w:val="00367128"/>
    <w:rsid w:val="004526C4"/>
    <w:rsid w:val="004E2D46"/>
    <w:rsid w:val="00511BE6"/>
    <w:rsid w:val="005328AE"/>
    <w:rsid w:val="00572D95"/>
    <w:rsid w:val="005A5EE8"/>
    <w:rsid w:val="006034AC"/>
    <w:rsid w:val="006960A6"/>
    <w:rsid w:val="006A3738"/>
    <w:rsid w:val="00946BF2"/>
    <w:rsid w:val="009E4AED"/>
    <w:rsid w:val="009F2DFC"/>
    <w:rsid w:val="00A33090"/>
    <w:rsid w:val="00AA06B1"/>
    <w:rsid w:val="00AE2183"/>
    <w:rsid w:val="00C0365E"/>
    <w:rsid w:val="00C253D2"/>
    <w:rsid w:val="00C94F20"/>
    <w:rsid w:val="00CD45FB"/>
    <w:rsid w:val="00D332F1"/>
    <w:rsid w:val="00D70C3F"/>
    <w:rsid w:val="00E00965"/>
    <w:rsid w:val="00E4040E"/>
    <w:rsid w:val="00E454A2"/>
    <w:rsid w:val="00E70B0A"/>
    <w:rsid w:val="00E719BB"/>
    <w:rsid w:val="00FE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B95708"/>
  <w15:chartTrackingRefBased/>
  <w15:docId w15:val="{CBAFE309-8348-5B4B-A759-D314BF5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1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646E"/>
    <w:pPr>
      <w:keepNext/>
      <w:keepLines/>
      <w:spacing w:before="40"/>
      <w:outlineLvl w:val="1"/>
    </w:pPr>
    <w:rPr>
      <w:rFonts w:ascii="Arial" w:eastAsiaTheme="majorEastAsia" w:hAnsi="Arial" w:cstheme="majorBidi"/>
      <w:b/>
      <w:color w:val="3E5F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B1"/>
    <w:pPr>
      <w:tabs>
        <w:tab w:val="center" w:pos="4513"/>
        <w:tab w:val="right" w:pos="9026"/>
      </w:tabs>
    </w:pPr>
  </w:style>
  <w:style w:type="character" w:customStyle="1" w:styleId="HeaderChar">
    <w:name w:val="Header Char"/>
    <w:basedOn w:val="DefaultParagraphFont"/>
    <w:link w:val="Header"/>
    <w:uiPriority w:val="99"/>
    <w:rsid w:val="00AA06B1"/>
  </w:style>
  <w:style w:type="paragraph" w:styleId="Footer">
    <w:name w:val="footer"/>
    <w:basedOn w:val="Normal"/>
    <w:link w:val="FooterChar"/>
    <w:uiPriority w:val="99"/>
    <w:unhideWhenUsed/>
    <w:rsid w:val="00AA06B1"/>
    <w:pPr>
      <w:tabs>
        <w:tab w:val="center" w:pos="4513"/>
        <w:tab w:val="right" w:pos="9026"/>
      </w:tabs>
    </w:pPr>
  </w:style>
  <w:style w:type="character" w:customStyle="1" w:styleId="FooterChar">
    <w:name w:val="Footer Char"/>
    <w:basedOn w:val="DefaultParagraphFont"/>
    <w:link w:val="Footer"/>
    <w:uiPriority w:val="99"/>
    <w:rsid w:val="00AA06B1"/>
  </w:style>
  <w:style w:type="character" w:styleId="PageNumber">
    <w:name w:val="page number"/>
    <w:basedOn w:val="DefaultParagraphFont"/>
    <w:uiPriority w:val="99"/>
    <w:semiHidden/>
    <w:unhideWhenUsed/>
    <w:rsid w:val="00AA06B1"/>
  </w:style>
  <w:style w:type="paragraph" w:styleId="NoSpacing">
    <w:name w:val="No Spacing"/>
    <w:link w:val="NoSpacingChar"/>
    <w:uiPriority w:val="1"/>
    <w:qFormat/>
    <w:rsid w:val="00AA06B1"/>
    <w:rPr>
      <w:rFonts w:eastAsiaTheme="minorEastAsia"/>
      <w:sz w:val="22"/>
      <w:szCs w:val="22"/>
      <w:lang w:val="en-US" w:eastAsia="zh-CN"/>
    </w:rPr>
  </w:style>
  <w:style w:type="character" w:customStyle="1" w:styleId="NoSpacingChar">
    <w:name w:val="No Spacing Char"/>
    <w:basedOn w:val="DefaultParagraphFont"/>
    <w:link w:val="NoSpacing"/>
    <w:uiPriority w:val="1"/>
    <w:rsid w:val="00AA06B1"/>
    <w:rPr>
      <w:rFonts w:eastAsiaTheme="minorEastAsia"/>
      <w:sz w:val="22"/>
      <w:szCs w:val="22"/>
      <w:lang w:val="en-US" w:eastAsia="zh-CN"/>
    </w:rPr>
  </w:style>
  <w:style w:type="paragraph" w:styleId="Title">
    <w:name w:val="Title"/>
    <w:basedOn w:val="Normal"/>
    <w:next w:val="Normal"/>
    <w:link w:val="TitleChar"/>
    <w:uiPriority w:val="10"/>
    <w:qFormat/>
    <w:rsid w:val="00367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12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7128"/>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671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646E"/>
    <w:rPr>
      <w:rFonts w:ascii="Arial" w:eastAsiaTheme="majorEastAsia" w:hAnsi="Arial" w:cstheme="majorBidi"/>
      <w:b/>
      <w:color w:val="3E5F73"/>
      <w:sz w:val="26"/>
      <w:szCs w:val="26"/>
    </w:rPr>
  </w:style>
  <w:style w:type="paragraph" w:styleId="ListParagraph">
    <w:name w:val="List Paragraph"/>
    <w:basedOn w:val="Normal"/>
    <w:uiPriority w:val="34"/>
    <w:qFormat/>
    <w:rsid w:val="0022646E"/>
    <w:pPr>
      <w:widowControl w:val="0"/>
    </w:pPr>
    <w:rPr>
      <w:rFonts w:ascii="Arial" w:eastAsia="Arial" w:hAnsi="Arial" w:cs="Arial"/>
      <w:sz w:val="22"/>
      <w:szCs w:val="22"/>
    </w:rPr>
  </w:style>
  <w:style w:type="paragraph" w:customStyle="1" w:styleId="Heading1-darkblue">
    <w:name w:val="Heading 1 - dark blue"/>
    <w:autoRedefine/>
    <w:qFormat/>
    <w:rsid w:val="0022646E"/>
    <w:pPr>
      <w:suppressAutoHyphens/>
      <w:spacing w:line="276" w:lineRule="auto"/>
    </w:pPr>
    <w:rPr>
      <w:rFonts w:ascii="Arial" w:hAnsi="Arial" w:cs="Times New Roman (Body CS)"/>
      <w:b/>
      <w:noProof/>
      <w:color w:val="B04D98"/>
      <w:spacing w:val="-2"/>
      <w:sz w:val="40"/>
      <w:szCs w:val="40"/>
      <w:u w:color="CED647"/>
    </w:rPr>
  </w:style>
  <w:style w:type="paragraph" w:styleId="EndnoteText">
    <w:name w:val="endnote text"/>
    <w:basedOn w:val="Normal"/>
    <w:link w:val="EndnoteTextChar"/>
    <w:uiPriority w:val="99"/>
    <w:unhideWhenUsed/>
    <w:rsid w:val="0022646E"/>
    <w:pPr>
      <w:spacing w:after="240"/>
    </w:pPr>
    <w:rPr>
      <w:rFonts w:ascii="Alte Haas Grotesk" w:hAnsi="Alte Haas Grotesk"/>
      <w:color w:val="5A5A5A"/>
      <w:sz w:val="20"/>
      <w:szCs w:val="20"/>
    </w:rPr>
  </w:style>
  <w:style w:type="character" w:customStyle="1" w:styleId="EndnoteTextChar">
    <w:name w:val="Endnote Text Char"/>
    <w:basedOn w:val="DefaultParagraphFont"/>
    <w:link w:val="EndnoteText"/>
    <w:uiPriority w:val="99"/>
    <w:rsid w:val="0022646E"/>
    <w:rPr>
      <w:rFonts w:ascii="Alte Haas Grotesk" w:hAnsi="Alte Haas Grotesk"/>
      <w:color w:val="5A5A5A"/>
      <w:sz w:val="20"/>
      <w:szCs w:val="20"/>
    </w:rPr>
  </w:style>
  <w:style w:type="character" w:styleId="EndnoteReference">
    <w:name w:val="endnote reference"/>
    <w:basedOn w:val="DefaultParagraphFont"/>
    <w:uiPriority w:val="99"/>
    <w:semiHidden/>
    <w:unhideWhenUsed/>
    <w:rsid w:val="0022646E"/>
    <w:rPr>
      <w:vertAlign w:val="superscript"/>
    </w:rPr>
  </w:style>
  <w:style w:type="character" w:styleId="Hyperlink">
    <w:name w:val="Hyperlink"/>
    <w:basedOn w:val="DefaultParagraphFont"/>
    <w:uiPriority w:val="99"/>
    <w:unhideWhenUsed/>
    <w:qFormat/>
    <w:rsid w:val="0022646E"/>
    <w:rPr>
      <w:rFonts w:ascii="Arial" w:hAnsi="Arial"/>
      <w:color w:val="0000FF"/>
      <w:sz w:val="24"/>
      <w:u w:val="single"/>
    </w:rPr>
  </w:style>
  <w:style w:type="paragraph" w:customStyle="1" w:styleId="Default">
    <w:name w:val="Default"/>
    <w:rsid w:val="0022646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22646E"/>
    <w:rPr>
      <w:sz w:val="16"/>
      <w:szCs w:val="16"/>
    </w:rPr>
  </w:style>
  <w:style w:type="paragraph" w:styleId="NormalWeb">
    <w:name w:val="Normal (Web)"/>
    <w:basedOn w:val="Normal"/>
    <w:uiPriority w:val="99"/>
    <w:unhideWhenUsed/>
    <w:rsid w:val="0022646E"/>
    <w:pPr>
      <w:spacing w:before="100" w:beforeAutospacing="1" w:after="100"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22646E"/>
    <w:pPr>
      <w:spacing w:line="259" w:lineRule="auto"/>
      <w:outlineLvl w:val="9"/>
    </w:pPr>
    <w:rPr>
      <w:lang w:eastAsia="en-GB"/>
    </w:rPr>
  </w:style>
  <w:style w:type="paragraph" w:styleId="TOC1">
    <w:name w:val="toc 1"/>
    <w:basedOn w:val="Normal"/>
    <w:next w:val="Normal"/>
    <w:autoRedefine/>
    <w:uiPriority w:val="39"/>
    <w:unhideWhenUsed/>
    <w:rsid w:val="0022646E"/>
    <w:pPr>
      <w:widowControl w:val="0"/>
      <w:spacing w:after="100"/>
    </w:pPr>
    <w:rPr>
      <w:rFonts w:ascii="Arial" w:eastAsia="Arial" w:hAnsi="Arial" w:cs="Arial"/>
      <w:sz w:val="22"/>
      <w:szCs w:val="22"/>
    </w:rPr>
  </w:style>
  <w:style w:type="paragraph" w:styleId="TOC2">
    <w:name w:val="toc 2"/>
    <w:basedOn w:val="Normal"/>
    <w:next w:val="Normal"/>
    <w:autoRedefine/>
    <w:uiPriority w:val="39"/>
    <w:unhideWhenUsed/>
    <w:rsid w:val="0022646E"/>
    <w:pPr>
      <w:widowControl w:val="0"/>
      <w:spacing w:after="100"/>
      <w:ind w:left="220"/>
    </w:pPr>
    <w:rPr>
      <w:rFonts w:ascii="Arial" w:eastAsia="Arial" w:hAnsi="Arial" w:cs="Arial"/>
      <w:sz w:val="22"/>
      <w:szCs w:val="22"/>
    </w:rPr>
  </w:style>
  <w:style w:type="character" w:styleId="UnresolvedMention">
    <w:name w:val="Unresolved Mention"/>
    <w:basedOn w:val="DefaultParagraphFont"/>
    <w:uiPriority w:val="99"/>
    <w:semiHidden/>
    <w:unhideWhenUsed/>
    <w:rsid w:val="00226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3797">
      <w:bodyDiv w:val="1"/>
      <w:marLeft w:val="0"/>
      <w:marRight w:val="0"/>
      <w:marTop w:val="0"/>
      <w:marBottom w:val="0"/>
      <w:divBdr>
        <w:top w:val="none" w:sz="0" w:space="0" w:color="auto"/>
        <w:left w:val="none" w:sz="0" w:space="0" w:color="auto"/>
        <w:bottom w:val="none" w:sz="0" w:space="0" w:color="auto"/>
        <w:right w:val="none" w:sz="0" w:space="0" w:color="auto"/>
      </w:divBdr>
      <w:divsChild>
        <w:div w:id="183446543">
          <w:marLeft w:val="0"/>
          <w:marRight w:val="0"/>
          <w:marTop w:val="0"/>
          <w:marBottom w:val="450"/>
          <w:divBdr>
            <w:top w:val="single" w:sz="6" w:space="6" w:color="141414"/>
            <w:left w:val="none" w:sz="0" w:space="0" w:color="auto"/>
            <w:bottom w:val="none" w:sz="0" w:space="0" w:color="auto"/>
            <w:right w:val="none" w:sz="0" w:space="0" w:color="auto"/>
          </w:divBdr>
        </w:div>
        <w:div w:id="310601716">
          <w:marLeft w:val="0"/>
          <w:marRight w:val="0"/>
          <w:marTop w:val="0"/>
          <w:marBottom w:val="0"/>
          <w:divBdr>
            <w:top w:val="none" w:sz="0" w:space="0" w:color="auto"/>
            <w:left w:val="none" w:sz="0" w:space="0" w:color="auto"/>
            <w:bottom w:val="none" w:sz="0" w:space="0" w:color="auto"/>
            <w:right w:val="none" w:sz="0" w:space="0" w:color="auto"/>
          </w:divBdr>
          <w:divsChild>
            <w:div w:id="1251239085">
              <w:marLeft w:val="0"/>
              <w:marRight w:val="0"/>
              <w:marTop w:val="0"/>
              <w:marBottom w:val="450"/>
              <w:divBdr>
                <w:top w:val="none" w:sz="0" w:space="0" w:color="auto"/>
                <w:left w:val="none" w:sz="0" w:space="0" w:color="auto"/>
                <w:bottom w:val="none" w:sz="0" w:space="0" w:color="auto"/>
                <w:right w:val="none" w:sz="0" w:space="0" w:color="auto"/>
              </w:divBdr>
            </w:div>
            <w:div w:id="1540121709">
              <w:marLeft w:val="0"/>
              <w:marRight w:val="0"/>
              <w:marTop w:val="0"/>
              <w:marBottom w:val="75"/>
              <w:divBdr>
                <w:top w:val="none" w:sz="0" w:space="0" w:color="auto"/>
                <w:left w:val="none" w:sz="0" w:space="0" w:color="auto"/>
                <w:bottom w:val="none" w:sz="0" w:space="0" w:color="auto"/>
                <w:right w:val="none" w:sz="0" w:space="0" w:color="auto"/>
              </w:divBdr>
            </w:div>
            <w:div w:id="2038967233">
              <w:marLeft w:val="0"/>
              <w:marRight w:val="0"/>
              <w:marTop w:val="0"/>
              <w:marBottom w:val="150"/>
              <w:divBdr>
                <w:top w:val="none" w:sz="0" w:space="0" w:color="auto"/>
                <w:left w:val="none" w:sz="0" w:space="0" w:color="auto"/>
                <w:bottom w:val="none" w:sz="0" w:space="0" w:color="auto"/>
                <w:right w:val="none" w:sz="0" w:space="0" w:color="auto"/>
              </w:divBdr>
              <w:divsChild>
                <w:div w:id="1587423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mentia-united.org.uk/greater-manchester-hospital-delirium-toolkit" TargetMode="External"/><Relationship Id="rId18" Type="http://schemas.openxmlformats.org/officeDocument/2006/relationships/hyperlink" Target="https://www.hweclinicalguidance.nhs.uk/all-clinical-areas-documents/download?cid=1491&amp;checksum=226d1f15ecd35f784d2a20c3ecf56d7f" TargetMode="External"/><Relationship Id="rId26" Type="http://schemas.openxmlformats.org/officeDocument/2006/relationships/hyperlink" Target="https://www.bgs.org.uk/resources/end-of-life-care-in-frailty-dementia" TargetMode="External"/><Relationship Id="rId39" Type="http://schemas.openxmlformats.org/officeDocument/2006/relationships/fontTable" Target="fontTable.xml"/><Relationship Id="rId21" Type="http://schemas.openxmlformats.org/officeDocument/2006/relationships/hyperlink" Target="https://www.scie.org.uk/mca/practice/assessing-capacity" TargetMode="External"/><Relationship Id="rId34" Type="http://schemas.openxmlformats.org/officeDocument/2006/relationships/hyperlink" Target="http://www.dementia-united.org.uk/" TargetMode="External"/><Relationship Id="rId7" Type="http://schemas.openxmlformats.org/officeDocument/2006/relationships/endnotes" Target="endnotes.xml"/><Relationship Id="rId12" Type="http://schemas.openxmlformats.org/officeDocument/2006/relationships/hyperlink" Target="http://www.dementia-united.org.uk/greater-manchester-hospital-delirium-toolkit" TargetMode="External"/><Relationship Id="rId17" Type="http://schemas.openxmlformats.org/officeDocument/2006/relationships/image" Target="media/image2.png"/><Relationship Id="rId25" Type="http://schemas.openxmlformats.org/officeDocument/2006/relationships/hyperlink" Target="https://dementia-united.org.uk/wp-content/uploads/sites/4/2021/10/Making-decisions-A-Guide-for-family-friends-and-other-unpaid-carers.pdf" TargetMode="External"/><Relationship Id="rId33" Type="http://schemas.openxmlformats.org/officeDocument/2006/relationships/hyperlink" Target="mailto:gmhscp.dementiaunited@nhs.ne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ementia-united.org.uk/greater-manchester-hospital-delirium-toolkit" TargetMode="External"/><Relationship Id="rId20" Type="http://schemas.openxmlformats.org/officeDocument/2006/relationships/hyperlink" Target="http://www.dementia-united.org.uk/greater-manchester-hospital-delirium-toolkit" TargetMode="External"/><Relationship Id="rId29" Type="http://schemas.openxmlformats.org/officeDocument/2006/relationships/hyperlink" Target="https://dementia-united.org.uk/wp-content/uploads/sites/4/2021/01/03-UCL-Rules-of-Thumb-Guide-v14.0_PRINT-vers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entia-united.org.uk/greater-manchester-hospital-delirium-toolkit" TargetMode="External"/><Relationship Id="rId24" Type="http://schemas.openxmlformats.org/officeDocument/2006/relationships/hyperlink" Target="https://assets.publishing.service.gov.uk/government/uploads/system/uploads/attachment_data/file/365631/making_decisions-opg601.pdf" TargetMode="External"/><Relationship Id="rId32" Type="http://schemas.openxmlformats.org/officeDocument/2006/relationships/hyperlink" Target="http://www.dementia-united.org.uk/greater-manchester-hospital-delirium-toolki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mentia-united.org.uk/wp-content/uploads/sites/4/2021/07/Hospital-Delirium-TIME-Bundle-.docx" TargetMode="External"/><Relationship Id="rId23" Type="http://schemas.openxmlformats.org/officeDocument/2006/relationships/hyperlink" Target="https://www.ouh.nhs.uk/patient-guide/safeguarding/documents/health-workers-guide.pdf" TargetMode="External"/><Relationship Id="rId28" Type="http://schemas.openxmlformats.org/officeDocument/2006/relationships/hyperlink" Target="https://www.bgs.org.uk/resources/resource-series/end-of-life-care-in-frailty" TargetMode="External"/><Relationship Id="rId36" Type="http://schemas.openxmlformats.org/officeDocument/2006/relationships/header" Target="header1.xml"/><Relationship Id="rId10" Type="http://schemas.openxmlformats.org/officeDocument/2006/relationships/hyperlink" Target="http://www.dementia-united.org.uk" TargetMode="External"/><Relationship Id="rId19" Type="http://schemas.openxmlformats.org/officeDocument/2006/relationships/hyperlink" Target="https://www.acbcalc.com/" TargetMode="External"/><Relationship Id="rId31" Type="http://schemas.openxmlformats.org/officeDocument/2006/relationships/hyperlink" Target="http://www.dementia-united.org.uk/greater-manchester-hospital-delirium-toolkit" TargetMode="External"/><Relationship Id="rId4" Type="http://schemas.openxmlformats.org/officeDocument/2006/relationships/settings" Target="settings.xml"/><Relationship Id="rId9" Type="http://schemas.openxmlformats.org/officeDocument/2006/relationships/hyperlink" Target="http://www.dementia-united.org.uk" TargetMode="External"/><Relationship Id="rId14" Type="http://schemas.openxmlformats.org/officeDocument/2006/relationships/hyperlink" Target="https://www.the4at.com/4at-translations" TargetMode="External"/><Relationship Id="rId22" Type="http://schemas.openxmlformats.org/officeDocument/2006/relationships/hyperlink" Target="https://dementia-united.org.uk/mental-capacity/" TargetMode="External"/><Relationship Id="rId27" Type="http://schemas.openxmlformats.org/officeDocument/2006/relationships/hyperlink" Target="https://www.bgs.org.uk/resources/end-of-life-care-in-frailty-delirium" TargetMode="External"/><Relationship Id="rId30" Type="http://schemas.openxmlformats.org/officeDocument/2006/relationships/hyperlink" Target="https://dementia-united.org.uk/wp-content/uploads/sites/4/2023/08/Greater-Manchester-Delirium-Leaflet-Long-Version-June-2023.docx" TargetMode="External"/><Relationship Id="rId35" Type="http://schemas.openxmlformats.org/officeDocument/2006/relationships/hyperlink" Target="http://www.facebook.com/NHSGreaterManchester" TargetMode="External"/><Relationship Id="rId8" Type="http://schemas.openxmlformats.org/officeDocument/2006/relationships/image" Target="media/image1.pn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www.ouh.nhs.uk/patient-guide/safeguarding/documents/health-workers-guide.pdf" TargetMode="External"/><Relationship Id="rId13" Type="http://schemas.openxmlformats.org/officeDocument/2006/relationships/hyperlink" Target="http://www.bgs.org.uk/resources/resource-series/end-of-life-care-in-frailty" TargetMode="External"/><Relationship Id="rId3" Type="http://schemas.openxmlformats.org/officeDocument/2006/relationships/hyperlink" Target="http://www.hweclinicalguidance.nhs.uk/all-clinical-areas-documents/download?cid=1491&amp;checksum=226d1f15ecd35f784d2a20c3ecf56d7f" TargetMode="External"/><Relationship Id="rId7" Type="http://schemas.openxmlformats.org/officeDocument/2006/relationships/hyperlink" Target="http://www.dementia-united.org.uk/mental-capacity" TargetMode="External"/><Relationship Id="rId12" Type="http://schemas.openxmlformats.org/officeDocument/2006/relationships/hyperlink" Target="http://www.bgs.org.uk/resources/end-of-life-care-in-frailty-delirium" TargetMode="External"/><Relationship Id="rId17" Type="http://schemas.openxmlformats.org/officeDocument/2006/relationships/hyperlink" Target="http://www.dementia-united.org.uk/wp-content/uploads/sites/4/2023/08/Greater-Manchester-Delirium-Leaflet-Short-Version-June-2023.docx" TargetMode="External"/><Relationship Id="rId2" Type="http://schemas.openxmlformats.org/officeDocument/2006/relationships/hyperlink" Target="http://www.dementia-united.org.uk/translated-delirium-resources" TargetMode="External"/><Relationship Id="rId16" Type="http://schemas.openxmlformats.org/officeDocument/2006/relationships/hyperlink" Target="http://www.dementia-united.org.uk/wp-content/uploads/sites/4/2023/08/Greater-Manchester-Delirium-Leaflet-Long-Version-June-2023.docx" TargetMode="External"/><Relationship Id="rId1" Type="http://schemas.openxmlformats.org/officeDocument/2006/relationships/hyperlink" Target="http://www.dementia-united.org.uk/greater-manchester-hospital-delirium-toolkit" TargetMode="External"/><Relationship Id="rId6" Type="http://schemas.openxmlformats.org/officeDocument/2006/relationships/hyperlink" Target="http://www.scie.org.uk/mca/practice/assessing-capacity" TargetMode="External"/><Relationship Id="rId11" Type="http://schemas.openxmlformats.org/officeDocument/2006/relationships/hyperlink" Target="http://www.bgs.org.uk/resources/end-of-life-care-in-frailty-dementia" TargetMode="External"/><Relationship Id="rId5" Type="http://schemas.openxmlformats.org/officeDocument/2006/relationships/hyperlink" Target="http://www.dementia-united.org.uk/greater-manchester-hospital-delirium-toolkit" TargetMode="External"/><Relationship Id="rId15" Type="http://schemas.openxmlformats.org/officeDocument/2006/relationships/hyperlink" Target="http://www.dementia-united.org.uk/wp-content/uploads/sites/4/2023/08/Greater-Manchester-Delirium-Leaflet-Long-Version-June-2023.docx" TargetMode="External"/><Relationship Id="rId10" Type="http://schemas.openxmlformats.org/officeDocument/2006/relationships/hyperlink" Target="http://www.dementia-united.org.uk/wp-content/uploads/sites/4/2021/10/Making-decisions-A-Guide-for-family-friends-and-other-unpaid-carers.pdf" TargetMode="External"/><Relationship Id="rId4" Type="http://schemas.openxmlformats.org/officeDocument/2006/relationships/hyperlink" Target="http://www.acbcalc.com" TargetMode="External"/><Relationship Id="rId9" Type="http://schemas.openxmlformats.org/officeDocument/2006/relationships/hyperlink" Target="https://assets.publishing.service.gov.uk/government/uploads/system/uploads/attachment_data/file/365631/making_decisions-opg601.pdf" TargetMode="External"/><Relationship Id="rId14" Type="http://schemas.openxmlformats.org/officeDocument/2006/relationships/hyperlink" Target="http://www.dementia-united.org.uk/wp-content/uploads/sites/4/2021/01/03-UCL-Rules-of-Thumb-Guide-v14.0_PRINT-ver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4597-8498-4113-BA77-67D24813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GM ICP report document</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ICP report document</dc:title>
  <dc:subject/>
  <dc:creator>PARTINGTON, Jennie (NHS GREATER MANCHESTER ICB - 00T)</dc:creator>
  <cp:keywords/>
  <dc:description/>
  <cp:lastModifiedBy>Laura Blake</cp:lastModifiedBy>
  <cp:revision>7</cp:revision>
  <dcterms:created xsi:type="dcterms:W3CDTF">2024-04-10T15:55:00Z</dcterms:created>
  <dcterms:modified xsi:type="dcterms:W3CDTF">2024-05-16T08:04:00Z</dcterms:modified>
</cp:coreProperties>
</file>